
<file path=[Content_Types].xml><?xml version="1.0" encoding="utf-8"?>
<Types xmlns="http://schemas.openxmlformats.org/package/2006/content-types">
  <Default Extension="rels" ContentType="application/vnd.openxmlformats-package.relationships+xml"/>
  <Default Extension="xml" ContentType="application/xml"/>
  <Default Extension="docx" ContentType="application/vnd.openxmlformats-officedocument.wordprocessingml.document.mai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FB3CAF" w:rsidR="00A24FFC" w:rsidP="00FB3CAF" w:rsidRDefault="00E87601" w14:paraId="6C6EB4F3" w14:textId="77777777">
      <w:pPr>
        <w:pStyle w:val="1"/>
        <w:spacing w:line="360" w:lineRule="exact"/>
        <w:rPr>
          <w:rFonts w:ascii="新細明體" w:hAnsi="新細明體" w:eastAsia="新細明體" w:cs="新細明體"/>
          <w:color w:val="000000"/>
        </w:rPr>
      </w:pPr>
      <w:bookmarkStart w:name="Std_Type2" w:id="0"/>
      <w:r w:rsidRPr="00F6439B">
        <w:rPr>
          <w:rFonts w:hint="eastAsia" w:ascii="新細明體" w:hAnsi="新細明體" w:eastAsia="新細明體" w:cs="新細明體"/>
          <w:color w:val="000000"/>
        </w:rPr>
        <w:t>證券商內部控制制度標準規範</w:t>
      </w:r>
      <w:bookmarkEnd w:id="0"/>
      <w:proofErr w:type="gramStart"/>
      <w:r w:rsidRPr="00F6439B">
        <w:rPr>
          <w:rFonts w:hint="eastAsia" w:ascii="新細明體" w:hAnsi="新細明體" w:eastAsia="新細明體" w:cs="新細明體"/>
          <w:color w:val="000000"/>
        </w:rPr>
        <w:t>─</w:t>
      </w:r>
      <w:proofErr w:type="gramEnd"/>
      <w:r w:rsidRPr="00F6439B">
        <w:rPr>
          <w:rFonts w:hint="eastAsia" w:ascii="新細明體" w:hAnsi="新細明體" w:eastAsia="新細明體" w:cs="新細明體"/>
          <w:color w:val="000000"/>
        </w:rPr>
        <w:t>內部控制制度修</w:t>
      </w:r>
      <w:r w:rsidRPr="00F6439B" w:rsidR="00D25C08">
        <w:rPr>
          <w:rFonts w:hint="eastAsia" w:ascii="新細明體" w:hAnsi="新細明體" w:eastAsia="新細明體" w:cs="新細明體"/>
          <w:color w:val="000000"/>
        </w:rPr>
        <w:t>正</w:t>
      </w:r>
      <w:r w:rsidRPr="00F6439B">
        <w:rPr>
          <w:rFonts w:hint="eastAsia" w:ascii="新細明體" w:hAnsi="新細明體" w:eastAsia="新細明體" w:cs="新細明體"/>
          <w:color w:val="000000"/>
        </w:rPr>
        <w:t>對照表</w:t>
      </w:r>
      <w:bookmarkStart w:name="Article_Eff_Date" w:id="1"/>
      <w:r w:rsidRPr="0031289E" w:rsidR="0031289E">
        <w:rPr>
          <w:rFonts w:hint="eastAsia" w:ascii="新細明體" w:hAnsi="新細明體" w:eastAsia="新細明體" w:cs="新細明體"/>
          <w:color w:val="000000"/>
        </w:rPr>
        <w:t>草案</w:t>
      </w:r>
      <w:bookmarkEnd w:id="1"/>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384"/>
        <w:gridCol w:w="1276"/>
        <w:gridCol w:w="5386"/>
        <w:gridCol w:w="5387"/>
        <w:gridCol w:w="2023"/>
      </w:tblGrid>
      <w:tr w:rsidRPr="00F6439B" w:rsidR="001E533B" w:rsidTr="004A29F0" w14:paraId="5B8288D9" w14:textId="77777777">
        <w:trPr>
          <w:tblHeader/>
        </w:trPr>
        <w:tc>
          <w:tcPr>
            <w:tcW w:w="1384" w:type="dxa"/>
            <w:tcBorders>
              <w:top w:val="single" w:color="auto" w:sz="12" w:space="0"/>
              <w:left w:val="single" w:color="auto" w:sz="12" w:space="0"/>
              <w:bottom w:val="single" w:color="auto" w:sz="12" w:space="0"/>
            </w:tcBorders>
            <w:shd w:val="clear" w:color="auto" w:fill="auto"/>
          </w:tcPr>
          <w:p w:rsidRPr="00F6439B" w:rsidR="001E533B" w:rsidP="00F6439B" w:rsidRDefault="00FB3CAF" w14:paraId="6E20BAD9" w14:textId="77777777">
            <w:pPr>
              <w:jc w:val="center"/>
              <w:rPr>
                <w:rFonts w:ascii="新細明體" w:hAnsi="新細明體" w:eastAsia="新細明體"/>
              </w:rPr>
            </w:pPr>
            <w:r w:rsidRPr="00F6439B">
              <w:rPr>
                <w:rFonts w:hint="eastAsia" w:ascii="新細明體" w:hAnsi="新細明體" w:eastAsia="新細明體"/>
              </w:rPr>
              <w:t>編號</w:t>
            </w:r>
          </w:p>
        </w:tc>
        <w:tc>
          <w:tcPr>
            <w:tcW w:w="1276" w:type="dxa"/>
            <w:tcBorders>
              <w:top w:val="single" w:color="auto" w:sz="12" w:space="0"/>
              <w:bottom w:val="single" w:color="auto" w:sz="12" w:space="0"/>
            </w:tcBorders>
            <w:shd w:val="clear" w:color="auto" w:fill="auto"/>
          </w:tcPr>
          <w:p w:rsidRPr="00F6439B" w:rsidR="00A24FFC" w:rsidP="001E533B" w:rsidRDefault="001E533B" w14:paraId="78ACF850" w14:textId="77777777">
            <w:pPr>
              <w:rPr>
                <w:rFonts w:ascii="新細明體" w:hAnsi="新細明體" w:eastAsia="新細明體"/>
              </w:rPr>
            </w:pPr>
            <w:r w:rsidRPr="00F6439B">
              <w:rPr>
                <w:rFonts w:hint="eastAsia" w:ascii="新細明體" w:hAnsi="新細明體" w:eastAsia="新細明體"/>
              </w:rPr>
              <w:t>作業項目</w:t>
            </w:r>
          </w:p>
        </w:tc>
        <w:tc>
          <w:tcPr>
            <w:tcW w:w="5386" w:type="dxa"/>
            <w:tcBorders>
              <w:top w:val="single" w:color="auto" w:sz="12" w:space="0"/>
              <w:bottom w:val="single" w:color="auto" w:sz="12" w:space="0"/>
            </w:tcBorders>
            <w:shd w:val="clear" w:color="auto" w:fill="auto"/>
          </w:tcPr>
          <w:p w:rsidRPr="00F6439B" w:rsidR="00A24FFC" w:rsidP="00F6439B" w:rsidRDefault="001E533B" w14:paraId="1EBEFB0B" w14:textId="77777777">
            <w:pPr>
              <w:jc w:val="center"/>
              <w:rPr>
                <w:rFonts w:ascii="新細明體" w:hAnsi="新細明體" w:eastAsia="新細明體"/>
              </w:rPr>
            </w:pPr>
            <w:r w:rsidRPr="00F6439B">
              <w:rPr>
                <w:rFonts w:hint="eastAsia" w:ascii="新細明體" w:hAnsi="新細明體" w:eastAsia="新細明體" w:cs="新細明體"/>
                <w:color w:val="000000"/>
              </w:rPr>
              <w:t>修正後內容</w:t>
            </w:r>
          </w:p>
        </w:tc>
        <w:tc>
          <w:tcPr>
            <w:tcW w:w="5387" w:type="dxa"/>
            <w:tcBorders>
              <w:top w:val="single" w:color="auto" w:sz="12" w:space="0"/>
              <w:bottom w:val="single" w:color="auto" w:sz="12" w:space="0"/>
            </w:tcBorders>
            <w:shd w:val="clear" w:color="auto" w:fill="auto"/>
          </w:tcPr>
          <w:p w:rsidRPr="00F6439B" w:rsidR="00A24FFC" w:rsidP="00F6439B" w:rsidRDefault="001E533B" w14:paraId="1FB190B7" w14:textId="77777777">
            <w:pPr>
              <w:jc w:val="center"/>
              <w:rPr>
                <w:rFonts w:ascii="新細明體" w:hAnsi="新細明體" w:eastAsia="新細明體"/>
              </w:rPr>
            </w:pPr>
            <w:r w:rsidRPr="00F6439B">
              <w:rPr>
                <w:rFonts w:hint="eastAsia" w:ascii="新細明體" w:hAnsi="新細明體" w:eastAsia="新細明體" w:cs="新細明體"/>
                <w:color w:val="000000"/>
              </w:rPr>
              <w:t>修正前內容</w:t>
            </w:r>
          </w:p>
        </w:tc>
        <w:tc>
          <w:tcPr>
            <w:tcW w:w="2023" w:type="dxa"/>
            <w:tcBorders>
              <w:top w:val="single" w:color="auto" w:sz="12" w:space="0"/>
              <w:bottom w:val="single" w:color="auto" w:sz="12" w:space="0"/>
              <w:right w:val="single" w:color="auto" w:sz="12" w:space="0"/>
            </w:tcBorders>
            <w:shd w:val="clear" w:color="auto" w:fill="auto"/>
          </w:tcPr>
          <w:p w:rsidRPr="00F6439B" w:rsidR="00A24FFC" w:rsidP="00F6439B" w:rsidRDefault="00C904D3" w14:paraId="7A098D66" w14:textId="77777777">
            <w:pPr>
              <w:jc w:val="center"/>
              <w:rPr>
                <w:rFonts w:ascii="新細明體" w:hAnsi="新細明體" w:eastAsia="新細明體"/>
              </w:rPr>
            </w:pPr>
            <w:r w:rsidRPr="00F6439B">
              <w:rPr>
                <w:rFonts w:hint="eastAsia" w:ascii="新細明體" w:hAnsi="新細明體" w:eastAsia="新細明體" w:cs="新細明體"/>
                <w:color w:val="000000"/>
              </w:rPr>
              <w:t>修正說明</w:t>
            </w:r>
          </w:p>
        </w:tc>
      </w:tr>
      <w:tr w:rsidRPr="00F6439B" w:rsidR="003B3105" w14:paraId="6F801B14" w14:textId="77777777">
        <w:tc>
          <w:tcPr>
            <w:tcW w:w="1384" w:type="dxa"/>
            <w:vMerge w:val="restart"/>
            <w:tcBorders>
              <w:top w:val="single" w:color="auto" w:sz="12" w:space="0"/>
              <w:left w:val="single" w:color="auto" w:sz="12" w:space="0"/>
            </w:tcBorders>
            <w:shd w:val="clear" w:color="auto" w:fill="auto"/>
          </w:tcPr>
          <w:p w:rsidRPr="00F6439B" w:rsidR="003B3105" w:rsidP="001E533B" w:rsidRDefault="003B3105" w14:paraId="39C8E458" w14:textId="3C93645F">
            <w:pPr>
              <w:rPr>
                <w:rFonts w:ascii="新細明體" w:hAnsi="新細明體" w:eastAsia="新細明體"/>
              </w:rPr>
            </w:pPr>
            <w:r>
              <w:rPr>
                <w:rFonts w:hint="eastAsia" w:ascii="新細明體" w:hAnsi="新細明體" w:eastAsia="新細明體"/>
              </w:rPr>
              <w:t>CW-11000</w:t>
            </w:r>
          </w:p>
        </w:tc>
        <w:tc>
          <w:tcPr>
            <w:tcW w:w="1276" w:type="dxa"/>
            <w:vMerge w:val="restart"/>
            <w:tcBorders>
              <w:top w:val="single" w:color="auto" w:sz="12" w:space="0"/>
            </w:tcBorders>
            <w:shd w:val="clear" w:color="auto" w:fill="auto"/>
          </w:tcPr>
          <w:p w:rsidRPr="00F6439B" w:rsidR="003B3105" w:rsidP="001E533B" w:rsidRDefault="003B3105" w14:paraId="6AECD2F1" w14:textId="77777777">
            <w:pPr>
              <w:rPr>
                <w:rFonts w:ascii="新細明體" w:hAnsi="新細明體" w:eastAsia="新細明體"/>
              </w:rPr>
            </w:pPr>
            <w:r>
              <w:rPr>
                <w:rFonts w:hint="eastAsia" w:ascii="新細明體" w:hAnsi="新細明體" w:eastAsia="新細明體"/>
              </w:rPr>
              <w:t>人員聘雇作業</w:t>
            </w:r>
          </w:p>
        </w:tc>
        <w:tc>
          <w:tcPr>
            <w:tcW w:w="5386" w:type="dxa"/>
            <w:tcBorders>
              <w:top w:val="single" w:color="auto" w:sz="12" w:space="0"/>
              <w:bottom w:val="nil"/>
            </w:tcBorders>
            <w:shd w:val="clear" w:color="auto" w:fill="auto"/>
          </w:tcPr>
          <w:p w:rsidRPr="003B3105" w:rsidR="003B3105" w:rsidP="003B3105" w:rsidRDefault="003B3105" w14:paraId="1A6552A0" w14:textId="77777777">
            <w:pPr>
              <w:spacing w:line="360" w:lineRule="exact"/>
              <w:rPr>
                <w:rFonts w:ascii="新細明體" w:hAnsi="新細明體" w:eastAsia="新細明體" w:cs="Times New Roman"/>
              </w:rPr>
            </w:pPr>
            <w:r w:rsidRPr="00F6439B">
              <w:rPr>
                <w:rFonts w:hint="eastAsia" w:ascii="新細明體" w:hAnsi="新細明體" w:eastAsia="新細明體" w:cs="新細明體"/>
              </w:rPr>
              <w:t>作業程序及控制重點：</w:t>
            </w:r>
          </w:p>
        </w:tc>
        <w:tc>
          <w:tcPr>
            <w:tcW w:w="5387" w:type="dxa"/>
            <w:tcBorders>
              <w:top w:val="single" w:color="auto" w:sz="12" w:space="0"/>
              <w:bottom w:val="nil"/>
            </w:tcBorders>
            <w:shd w:val="clear" w:color="auto" w:fill="auto"/>
          </w:tcPr>
          <w:p w:rsidRPr="003B3105" w:rsidR="003B3105" w:rsidP="003B3105" w:rsidRDefault="003B3105" w14:paraId="3C1F8D55" w14:textId="77777777">
            <w:pPr>
              <w:spacing w:line="360" w:lineRule="exact"/>
              <w:rPr>
                <w:rFonts w:ascii="新細明體" w:hAnsi="新細明體" w:eastAsia="新細明體" w:cs="Times New Roman"/>
              </w:rPr>
            </w:pPr>
            <w:r w:rsidRPr="00F6439B">
              <w:rPr>
                <w:rFonts w:hint="eastAsia" w:ascii="新細明體" w:hAnsi="新細明體" w:eastAsia="新細明體" w:cs="新細明體"/>
              </w:rPr>
              <w:t>作業程序及控制重點：</w:t>
            </w:r>
          </w:p>
        </w:tc>
        <w:tc>
          <w:tcPr>
            <w:tcW w:w="2023" w:type="dxa"/>
            <w:vMerge w:val="restart"/>
            <w:tcBorders>
              <w:top w:val="single" w:color="auto" w:sz="12" w:space="0"/>
              <w:right w:val="single" w:color="auto" w:sz="12" w:space="0"/>
            </w:tcBorders>
            <w:shd w:val="clear" w:color="auto" w:fill="auto"/>
          </w:tcPr>
          <w:p w:rsidRPr="00F6439B" w:rsidR="003B3105" w:rsidP="003B3105" w:rsidRDefault="003B3105" w14:paraId="217DBB1D" w14:textId="77777777">
            <w:pPr>
              <w:spacing w:line="360" w:lineRule="exact"/>
              <w:ind w:left="28" w:right="28"/>
              <w:rPr>
                <w:rFonts w:ascii="新細明體" w:hAnsi="新細明體" w:eastAsia="新細明體"/>
              </w:rPr>
            </w:pPr>
            <w:r>
              <w:rPr>
                <w:rFonts w:hint="eastAsia" w:ascii="新細明體" w:hAnsi="新細明體" w:eastAsia="新細明體" w:cs="Times New Roman"/>
                <w:color w:val="FF0000"/>
                <w:spacing w:val="20"/>
                <w:szCs w:val="20"/>
                <w:u w:val="single"/>
              </w:rPr>
              <w:t>配合證券商設置標準修訂，開放證券商得設置簡易分支機構或將一般分支機構變更為簡易分支機構，爰修正之。</w:t>
            </w: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hangingChars="165"/>
            </w:pPr>
            <w:r>
              <w:rPr>
                <w:rFonts w:hint="eastAsia" w:ascii="新細明體" w:hAnsi="新細明體" w:eastAsia="新細明體" w:cs="新細明體"/>
              </w:rPr>
              <w:t>(一)</w:t>
            </w:r>
            <w:r>
              <w:rPr>
                <w:rFonts w:hint="eastAsia" w:ascii="新細明體" w:hAnsi="新細明體" w:eastAsia="新細明體" w:cs="新細明體"/>
              </w:rPr>
              <w:t>各單位需增補人員時，應依規定簽報核准後辦理。</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hangingChars="165"/>
            </w:pPr>
            <w:r>
              <w:rPr>
                <w:rFonts w:hint="eastAsia" w:ascii="新細明體" w:hAnsi="新細明體" w:eastAsia="新細明體" w:cs="新細明體"/>
              </w:rPr>
              <w:t>(一)</w:t>
            </w:r>
            <w:r>
              <w:rPr>
                <w:rFonts w:hint="eastAsia" w:ascii="新細明體" w:hAnsi="新細明體" w:eastAsia="新細明體" w:cs="新細明體"/>
              </w:rPr>
              <w:t>各單位需增補人員時，應依規定簽報核准後辦理。</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hangingChars="165"/>
            </w:pPr>
            <w:r>
              <w:rPr>
                <w:rFonts w:hint="eastAsia" w:ascii="新細明體" w:hAnsi="新細明體" w:eastAsia="新細明體" w:cs="新細明體"/>
              </w:rPr>
              <w:t>(二)</w:t>
            </w:r>
            <w:r>
              <w:rPr>
                <w:rFonts w:hint="eastAsia" w:ascii="新細明體" w:hAnsi="新細明體" w:eastAsia="新細明體" w:cs="新細明體"/>
              </w:rPr>
              <w:t>人事單位可依下列方式進行招募作業：</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hangingChars="165"/>
            </w:pPr>
            <w:r>
              <w:rPr>
                <w:rFonts w:hint="eastAsia" w:ascii="新細明體" w:hAnsi="新細明體" w:eastAsia="新細明體" w:cs="新細明體"/>
              </w:rPr>
              <w:t>(二)</w:t>
            </w:r>
            <w:r>
              <w:rPr>
                <w:rFonts w:hint="eastAsia" w:ascii="新細明體" w:hAnsi="新細明體" w:eastAsia="新細明體" w:cs="新細明體"/>
              </w:rPr>
              <w:t>人事單位可依下列方式進行招募作業：</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1.</w:t>
            </w:r>
            <w:r>
              <w:rPr>
                <w:rFonts w:hint="eastAsia" w:ascii="新細明體" w:hAnsi="新細明體" w:eastAsia="新細明體" w:cs="新細明體"/>
              </w:rPr>
              <w:t>登報廣告。</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1.</w:t>
            </w:r>
            <w:r>
              <w:rPr>
                <w:rFonts w:hint="eastAsia" w:ascii="新細明體" w:hAnsi="新細明體" w:eastAsia="新細明體" w:cs="新細明體"/>
              </w:rPr>
              <w:t>登報廣告。</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2.</w:t>
            </w:r>
            <w:r>
              <w:rPr>
                <w:rFonts w:hint="eastAsia" w:ascii="新細明體" w:hAnsi="新細明體" w:eastAsia="新細明體" w:cs="新細明體"/>
              </w:rPr>
              <w:t>向就業中心求才。</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2.</w:t>
            </w:r>
            <w:r>
              <w:rPr>
                <w:rFonts w:hint="eastAsia" w:ascii="新細明體" w:hAnsi="新細明體" w:eastAsia="新細明體" w:cs="新細明體"/>
              </w:rPr>
              <w:t>向就業中心求才。</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3.</w:t>
            </w:r>
            <w:r>
              <w:rPr>
                <w:rFonts w:hint="eastAsia" w:ascii="新細明體" w:hAnsi="新細明體" w:eastAsia="新細明體" w:cs="新細明體"/>
              </w:rPr>
              <w:t>向學校求才。</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3.</w:t>
            </w:r>
            <w:r>
              <w:rPr>
                <w:rFonts w:hint="eastAsia" w:ascii="新細明體" w:hAnsi="新細明體" w:eastAsia="新細明體" w:cs="新細明體"/>
              </w:rPr>
              <w:t>向學校求才。</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4.</w:t>
            </w:r>
            <w:r>
              <w:rPr>
                <w:rFonts w:hint="eastAsia" w:ascii="新細明體" w:hAnsi="新細明體" w:eastAsia="新細明體" w:cs="新細明體"/>
              </w:rPr>
              <w:t>經人推介。</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4.</w:t>
            </w:r>
            <w:r>
              <w:rPr>
                <w:rFonts w:hint="eastAsia" w:ascii="新細明體" w:hAnsi="新細明體" w:eastAsia="新細明體" w:cs="新細明體"/>
              </w:rPr>
              <w:t>經人推介。</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hangingChars="165"/>
            </w:pPr>
            <w:r>
              <w:rPr>
                <w:rFonts w:hint="eastAsia" w:ascii="新細明體" w:hAnsi="新細明體" w:eastAsia="新細明體" w:cs="新細明體"/>
              </w:rPr>
              <w:t>(三)</w:t>
            </w:r>
            <w:r>
              <w:rPr>
                <w:rFonts w:hint="eastAsia" w:ascii="新細明體" w:hAnsi="新細明體" w:eastAsia="新細明體" w:cs="新細明體"/>
              </w:rPr>
              <w:t>經筆試、面試、試用程序，俟合格後正式任用；正式任用前應按人事規定辦妥一切手續（包括保證人、對保）並建立基本資料。</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hangingChars="165"/>
            </w:pPr>
            <w:r>
              <w:rPr>
                <w:rFonts w:hint="eastAsia" w:ascii="新細明體" w:hAnsi="新細明體" w:eastAsia="新細明體" w:cs="新細明體"/>
              </w:rPr>
              <w:t>(三)</w:t>
            </w:r>
            <w:r>
              <w:rPr>
                <w:rFonts w:hint="eastAsia" w:ascii="新細明體" w:hAnsi="新細明體" w:eastAsia="新細明體" w:cs="新細明體"/>
              </w:rPr>
              <w:t>經筆試、面試、試用程序，俟合格後正式任用；正式任用前應按人事規定辦妥一切手續（包括保證人、對保）並建立基本資料。</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hangingChars="165"/>
            </w:pPr>
            <w:r>
              <w:rPr>
                <w:rFonts w:hint="eastAsia" w:ascii="新細明體" w:hAnsi="新細明體" w:eastAsia="新細明體" w:cs="新細明體"/>
              </w:rPr>
              <w:t>(四)</w:t>
            </w:r>
            <w:r>
              <w:rPr>
                <w:rFonts w:hint="eastAsia" w:ascii="新細明體" w:hAnsi="新細明體" w:eastAsia="新細明體" w:cs="新細明體"/>
              </w:rPr>
              <w:t>公司聘雇業務人員時，應注意其有無違反證券相關法令之情形。</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hangingChars="165"/>
            </w:pPr>
            <w:r>
              <w:rPr>
                <w:rFonts w:hint="eastAsia" w:ascii="新細明體" w:hAnsi="新細明體" w:eastAsia="新細明體" w:cs="新細明體"/>
              </w:rPr>
              <w:t>(四)</w:t>
            </w:r>
            <w:r>
              <w:rPr>
                <w:rFonts w:hint="eastAsia" w:ascii="新細明體" w:hAnsi="新細明體" w:eastAsia="新細明體" w:cs="新細明體"/>
              </w:rPr>
              <w:t>公司聘雇業務人員時，應注意其有無違反證券相關法令之情形。</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hangingChars="165"/>
            </w:pPr>
            <w:r>
              <w:rPr>
                <w:rFonts w:hint="eastAsia" w:ascii="新細明體" w:hAnsi="新細明體" w:eastAsia="新細明體" w:cs="新細明體"/>
              </w:rPr>
              <w:t>(五)</w:t>
            </w:r>
            <w:r>
              <w:rPr>
                <w:rFonts w:hint="eastAsia" w:ascii="新細明體" w:hAnsi="新細明體" w:eastAsia="新細明體" w:cs="新細明體"/>
              </w:rPr>
              <w:t>經理人、會計主管與主辦會計人員之任免，應由董事會以董事過半數之出席，及出席董事過半數同意之決議行之。(外國證券商在臺分</w:t>
            </w:r>
            <w:r>
              <w:rPr>
                <w:rFonts w:hint="eastAsia" w:ascii="新細明體" w:hAnsi="新細明體" w:eastAsia="新細明體" w:cs="新細明體"/>
                <w:b/>
                <w:u w:val="single"/>
                <w:color w:val="FF0000 "/>
              </w:rPr>
              <w:t>支機構</w:t>
            </w:r>
            <w:r>
              <w:rPr>
                <w:rFonts w:hint="eastAsia" w:ascii="新細明體" w:hAnsi="新細明體" w:eastAsia="新細明體" w:cs="新細明體"/>
              </w:rPr>
              <w:t>除外及兼營證券商得另依主管機關規定)</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hangingChars="165"/>
            </w:pPr>
            <w:r>
              <w:rPr>
                <w:rFonts w:hint="eastAsia" w:ascii="新細明體" w:hAnsi="新細明體" w:eastAsia="新細明體" w:cs="新細明體"/>
              </w:rPr>
              <w:t>(五)</w:t>
            </w:r>
            <w:r>
              <w:rPr>
                <w:rFonts w:hint="eastAsia" w:ascii="新細明體" w:hAnsi="新細明體" w:eastAsia="新細明體" w:cs="新細明體"/>
              </w:rPr>
              <w:t>經理人、會計主管與主辦會計人員之任免，應由董事會以董事過半數之出席，及出席董事過半數同意之決議行之。(外國證券商在臺分</w:t>
            </w:r>
            <w:r>
              <w:rPr>
                <w:rFonts w:hint="eastAsia" w:ascii="新細明體" w:hAnsi="新細明體" w:eastAsia="新細明體" w:cs="新細明體"/>
                <w:b/>
                <w:color w:val="FF0000 "/>
              </w:rPr>
              <w:t>公司</w:t>
            </w:r>
            <w:r>
              <w:rPr>
                <w:rFonts w:hint="eastAsia" w:ascii="新細明體" w:hAnsi="新細明體" w:eastAsia="新細明體" w:cs="新細明體"/>
              </w:rPr>
              <w:t>除外及兼營證券商得另依主管機關規定)</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hangingChars="165"/>
            </w:pPr>
            <w:r>
              <w:rPr>
                <w:rFonts w:hint="eastAsia" w:ascii="新細明體" w:hAnsi="新細明體" w:eastAsia="新細明體" w:cs="新細明體"/>
              </w:rPr>
              <w:t>(六)</w:t>
            </w:r>
            <w:r>
              <w:rPr>
                <w:rFonts w:hint="eastAsia" w:ascii="新細明體" w:hAnsi="新細明體" w:eastAsia="新細明體" w:cs="新細明體"/>
              </w:rPr>
              <w:t>若其從事證券商負責人與業務人員管理規則第二條規定之業務時，應先依規定辦妥登記後，始得執行職務。</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hangingChars="165"/>
            </w:pPr>
            <w:r>
              <w:rPr>
                <w:rFonts w:hint="eastAsia" w:ascii="新細明體" w:hAnsi="新細明體" w:eastAsia="新細明體" w:cs="新細明體"/>
              </w:rPr>
              <w:t>(六)</w:t>
            </w:r>
            <w:r>
              <w:rPr>
                <w:rFonts w:hint="eastAsia" w:ascii="新細明體" w:hAnsi="新細明體" w:eastAsia="新細明體" w:cs="新細明體"/>
              </w:rPr>
              <w:t>若其從事證券商負責人與業務人員管理規則第二條規定之業務時，應先依規定辦妥登記後，始得執行職務。</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hangingChars="165"/>
            </w:pPr>
            <w:r>
              <w:rPr>
                <w:rFonts w:hint="eastAsia" w:ascii="新細明體" w:hAnsi="新細明體" w:eastAsia="新細明體" w:cs="新細明體"/>
              </w:rPr>
              <w:t>(七)</w:t>
            </w:r>
            <w:r>
              <w:rPr>
                <w:rFonts w:hint="eastAsia" w:ascii="新細明體" w:hAnsi="新細明體" w:eastAsia="新細明體" w:cs="新細明體"/>
              </w:rPr>
              <w:t>業務人員兼任兼職之管理：</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hangingChars="165"/>
            </w:pPr>
            <w:r>
              <w:rPr>
                <w:rFonts w:hint="eastAsia" w:ascii="新細明體" w:hAnsi="新細明體" w:eastAsia="新細明體" w:cs="新細明體"/>
              </w:rPr>
              <w:t>(七)</w:t>
            </w:r>
            <w:r>
              <w:rPr>
                <w:rFonts w:hint="eastAsia" w:ascii="新細明體" w:hAnsi="新細明體" w:eastAsia="新細明體" w:cs="新細明體"/>
              </w:rPr>
              <w:t>業務人員兼任兼職之管理：</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1.</w:t>
            </w:r>
            <w:r>
              <w:rPr>
                <w:rFonts w:hint="eastAsia" w:ascii="新細明體" w:hAnsi="新細明體" w:eastAsia="新細明體" w:cs="新細明體"/>
              </w:rPr>
              <w:t>業務人員不得兼任國內外其他證券商任何職務，但法令遵循人員、內部稽核人員、風險管理人員及主辦會計人員兼任國外證券關係企業相同性質職務者，不在此限。公司內部稽核人員及風險管理人員兼任國外證券關係企業同性質職務時，應定期(每年至少一次)對該等公司執行稽核及風險管理作業。</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1.</w:t>
            </w:r>
            <w:r>
              <w:rPr>
                <w:rFonts w:hint="eastAsia" w:ascii="新細明體" w:hAnsi="新細明體" w:eastAsia="新細明體" w:cs="新細明體"/>
              </w:rPr>
              <w:t>業務人員不得兼任國內外其他證券商任何職務，但法令遵循人員、內部稽核人員、風險管理人員及主辦會計人員兼任國外證券關係企業相同性質職務者，不在此限。公司內部稽核人員及風險管理人員兼任國外證券關係企業同性質職務時，應定期(每年至少一次)對該等公司執行稽核及風險管理作業。</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2.</w:t>
            </w:r>
            <w:r>
              <w:rPr>
                <w:rFonts w:hint="eastAsia" w:ascii="新細明體" w:hAnsi="新細明體" w:eastAsia="新細明體" w:cs="新細明體"/>
              </w:rPr>
              <w:t>除其他法令另有規定外，公司下列人員不得辦理登記範圍以外之業務或由其他人員兼辦：</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2.</w:t>
            </w:r>
            <w:r>
              <w:rPr>
                <w:rFonts w:hint="eastAsia" w:ascii="新細明體" w:hAnsi="新細明體" w:eastAsia="新細明體" w:cs="新細明體"/>
              </w:rPr>
              <w:t>除其他法令另有規定外，公司下列人員不得辦理登記範圍以外之業務或由其他人員兼辦：</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(1)</w:t>
            </w:r>
            <w:r>
              <w:rPr>
                <w:rFonts w:hint="eastAsia" w:ascii="新細明體" w:hAnsi="新細明體" w:eastAsia="新細明體" w:cs="新細明體"/>
              </w:rPr>
              <w:t>辦理有價證券自行買賣業務之人員。</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(1)</w:t>
            </w:r>
            <w:r>
              <w:rPr>
                <w:rFonts w:hint="eastAsia" w:ascii="新細明體" w:hAnsi="新細明體" w:eastAsia="新細明體" w:cs="新細明體"/>
              </w:rPr>
              <w:t>辦理有價證券自行買賣業務之人員。</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(2)</w:t>
            </w:r>
            <w:r>
              <w:rPr>
                <w:rFonts w:hint="eastAsia" w:ascii="新細明體" w:hAnsi="新細明體" w:eastAsia="新細明體" w:cs="新細明體"/>
              </w:rPr>
              <w:t>內部稽核人員。</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(2)</w:t>
            </w:r>
            <w:r>
              <w:rPr>
                <w:rFonts w:hint="eastAsia" w:ascii="新細明體" w:hAnsi="新細明體" w:eastAsia="新細明體" w:cs="新細明體"/>
              </w:rPr>
              <w:t>內部稽核人員。</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(3)</w:t>
            </w:r>
            <w:r>
              <w:rPr>
                <w:rFonts w:hint="eastAsia" w:ascii="新細明體" w:hAnsi="新細明體" w:eastAsia="新細明體" w:cs="新細明體"/>
              </w:rPr>
              <w:t>風險管理人員。</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(3)</w:t>
            </w:r>
            <w:r>
              <w:rPr>
                <w:rFonts w:hint="eastAsia" w:ascii="新細明體" w:hAnsi="新細明體" w:eastAsia="新細明體" w:cs="新細明體"/>
              </w:rPr>
              <w:t>風險管理人員。</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(4)</w:t>
            </w:r>
            <w:r>
              <w:rPr>
                <w:rFonts w:hint="eastAsia" w:ascii="新細明體" w:hAnsi="新細明體" w:eastAsia="新細明體" w:cs="新細明體"/>
              </w:rPr>
              <w:t>辦理受託管理私募股權基金業務之人員。</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(4)</w:t>
            </w:r>
            <w:r>
              <w:rPr>
                <w:rFonts w:hint="eastAsia" w:ascii="新細明體" w:hAnsi="新細明體" w:eastAsia="新細明體" w:cs="新細明體"/>
              </w:rPr>
              <w:t>辦理受託管理私募股權基金業務之人員。</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3.</w:t>
            </w:r>
            <w:r>
              <w:rPr>
                <w:rFonts w:hint="eastAsia" w:ascii="新細明體" w:hAnsi="新細明體" w:eastAsia="新細明體" w:cs="新細明體"/>
              </w:rPr>
              <w:t>公司辦理受託買賣有價證券業務之人員，及負責資產配置或財務規劃等顧問諮詢或金融商品銷售服務之人員，不得兼辦有價證券開戶、結算交割、款券收付、保管、融資融券、承銷、主辦會計、代辦股務等職務。</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3.</w:t>
            </w:r>
            <w:r>
              <w:rPr>
                <w:rFonts w:hint="eastAsia" w:ascii="新細明體" w:hAnsi="新細明體" w:eastAsia="新細明體" w:cs="新細明體"/>
              </w:rPr>
              <w:t>公司辦理受託買賣有價證券業務之人員，及負責資產配置或財務規劃等顧問諮詢或金融商品銷售服務之人員，不得兼辦有價證券開戶、結算交割、款券收付、保管、融資融券、承銷、主辦會計、代辦股務等職務。</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4.</w:t>
            </w:r>
            <w:r>
              <w:rPr>
                <w:rFonts w:hint="eastAsia" w:ascii="新細明體" w:hAnsi="新細明體" w:eastAsia="新細明體" w:cs="新細明體"/>
              </w:rPr>
              <w:t>公司應明訂業務人員得兼任及兼辦職務之業務範圍、兼任及兼辦職務制度之管理程序，並規範兼任及兼辦職務行為不得涉有利益衝突、造成客戶混淆或損及客戶權益情事。(註：請公司自訂)</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4.</w:t>
            </w:r>
            <w:r>
              <w:rPr>
                <w:rFonts w:hint="eastAsia" w:ascii="新細明體" w:hAnsi="新細明體" w:eastAsia="新細明體" w:cs="新細明體"/>
              </w:rPr>
              <w:t>公司應明訂業務人員得兼任及兼辦職務之業務範圍、兼任及兼辦職務制度之管理程序，並規範兼任及兼辦職務行為不得涉有利益衝突、造成客戶混淆或損及客戶權益情事。(註：請公司自訂)</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5.</w:t>
            </w:r>
            <w:r>
              <w:rPr>
                <w:rFonts w:hint="eastAsia" w:ascii="新細明體" w:hAnsi="新細明體" w:eastAsia="新細明體" w:cs="新細明體"/>
              </w:rPr>
              <w:t>公司應評估業務人員兼任與兼辦職務行為，不得影響現行業務之執行，並應提報人員兼任與兼辦職務之時間分配解決方案。公司應留存評估及審核紀錄。</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5.</w:t>
            </w:r>
            <w:r>
              <w:rPr>
                <w:rFonts w:hint="eastAsia" w:ascii="新細明體" w:hAnsi="新細明體" w:eastAsia="新細明體" w:cs="新細明體"/>
              </w:rPr>
              <w:t>公司應評估業務人員兼任與兼辦職務行為，不得影響現行業務之執行，並應提報人員兼任與兼辦職務之時間分配解決方案。公司應留存評估及審核紀錄。</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6.</w:t>
            </w:r>
            <w:r>
              <w:rPr>
                <w:rFonts w:hint="eastAsia" w:ascii="新細明體" w:hAnsi="新細明體" w:eastAsia="新細明體" w:cs="新細明體"/>
              </w:rPr>
              <w:t>業務人員從事公司本身以外任何僱傭工作，應事先書面通知公司。</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6.</w:t>
            </w:r>
            <w:r>
              <w:rPr>
                <w:rFonts w:hint="eastAsia" w:ascii="新細明體" w:hAnsi="新細明體" w:eastAsia="新細明體" w:cs="新細明體"/>
              </w:rPr>
              <w:t>業務人員從事公司本身以外任何僱傭工作，應事先書面通知公司。</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7.</w:t>
            </w:r>
            <w:r>
              <w:rPr>
                <w:rFonts w:hint="eastAsia" w:ascii="新細明體" w:hAnsi="新細明體" w:eastAsia="新細明體" w:cs="新細明體"/>
              </w:rPr>
              <w:t>公司收到上開書面通知時，應考量該兼職活動是否牴觸業務人員對公司與客戶之既有職責與業務，以及該活動是否有被客戶視為公司業務範圍之情事，並據以評估是否對該兼職活動加以限制，及規範特定情形下禁止該兼職活動之要件。</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7.</w:t>
            </w:r>
            <w:r>
              <w:rPr>
                <w:rFonts w:hint="eastAsia" w:ascii="新細明體" w:hAnsi="新細明體" w:eastAsia="新細明體" w:cs="新細明體"/>
              </w:rPr>
              <w:t>公司收到上開書面通知時，應考量該兼職活動是否牴觸業務人員對公司與客戶之既有職責與業務，以及該活動是否有被客戶視為公司業務範圍之情事，並據以評估是否對該兼職活動加以限制，及規範特定情形下禁止該兼職活動之要件。</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8.</w:t>
            </w:r>
            <w:r>
              <w:rPr>
                <w:rFonts w:hint="eastAsia" w:ascii="新細明體" w:hAnsi="新細明體" w:eastAsia="新細明體" w:cs="新細明體"/>
              </w:rPr>
              <w:t>公司應評估及審核該兼任行為是否符合證券商負責人與業務人員管理規則第四條第九項規定，並留存紀錄。</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8.</w:t>
            </w:r>
            <w:r>
              <w:rPr>
                <w:rFonts w:hint="eastAsia" w:ascii="新細明體" w:hAnsi="新細明體" w:eastAsia="新細明體" w:cs="新細明體"/>
              </w:rPr>
              <w:t>公司應評估及審核該兼任行為是否符合證券商負責人與業務人員管理規則第四條第九項規定，並留存紀錄。</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9.</w:t>
            </w:r>
            <w:r>
              <w:rPr>
                <w:rFonts w:hint="eastAsia" w:ascii="新細明體" w:hAnsi="新細明體" w:eastAsia="新細明體" w:cs="新細明體"/>
              </w:rPr>
              <w:t>公司應建立投資決策與業務訊息區隔等利益衝突防範措施與利益衝突迴避相關作法，並經董事會通過。(請公司自訂)</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9.</w:t>
            </w:r>
            <w:r>
              <w:rPr>
                <w:rFonts w:hint="eastAsia" w:ascii="新細明體" w:hAnsi="新細明體" w:eastAsia="新細明體" w:cs="新細明體"/>
              </w:rPr>
              <w:t>公司應建立投資決策與業務訊息區隔等利益衝突防範措施與利益衝突迴避相關作法，並經董事會通過。(請公司自訂)</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10.</w:t>
            </w:r>
            <w:r>
              <w:rPr>
                <w:rFonts w:hint="eastAsia" w:ascii="新細明體" w:hAnsi="新細明體" w:eastAsia="新細明體" w:cs="新細明體"/>
              </w:rPr>
              <w:t>公司業務人員兼任國外公司職務時，應符合當地主管機關規範，公司並應定期(每年至少一次)查核以確保該業務人員之一切活動（包括海外行為）符合我國及海外當地國之法律規定。</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10.</w:t>
            </w:r>
            <w:r>
              <w:rPr>
                <w:rFonts w:hint="eastAsia" w:ascii="新細明體" w:hAnsi="新細明體" w:eastAsia="新細明體" w:cs="新細明體"/>
              </w:rPr>
              <w:t>公司業務人員兼任國外公司職務時，應符合當地主管機關規範，公司並應定期(每年至少一次)查核以確保該業務人員之一切活動（包括海外行為）符合我國及海外當地國之法律規定。</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hangingChars="165"/>
            </w:pPr>
            <w:r>
              <w:rPr>
                <w:rFonts w:hint="eastAsia" w:ascii="新細明體" w:hAnsi="新細明體" w:eastAsia="新細明體" w:cs="新細明體"/>
              </w:rPr>
              <w:t>(八)</w:t>
            </w:r>
            <w:r>
              <w:rPr>
                <w:rFonts w:hint="eastAsia" w:ascii="新細明體" w:hAnsi="新細明體" w:eastAsia="新細明體" w:cs="新細明體"/>
              </w:rPr>
              <w:t>公司辦理有價證券買賣融資融券，應指派經主管機關認可機構訓練及測驗合格之業務人員承辦業務。</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hangingChars="165"/>
            </w:pPr>
            <w:r>
              <w:rPr>
                <w:rFonts w:hint="eastAsia" w:ascii="新細明體" w:hAnsi="新細明體" w:eastAsia="新細明體" w:cs="新細明體"/>
              </w:rPr>
              <w:t>(八)</w:t>
            </w:r>
            <w:r>
              <w:rPr>
                <w:rFonts w:hint="eastAsia" w:ascii="新細明體" w:hAnsi="新細明體" w:eastAsia="新細明體" w:cs="新細明體"/>
              </w:rPr>
              <w:t>公司辦理有價證券買賣融資融券，應指派經主管機關認可機構訓練及測驗合格之業務人員承辦業務。</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hangingChars="165"/>
            </w:pPr>
            <w:r>
              <w:rPr>
                <w:rFonts w:hint="eastAsia" w:ascii="新細明體" w:hAnsi="新細明體" w:eastAsia="新細明體" w:cs="新細明體"/>
              </w:rPr>
              <w:t>(九)</w:t>
            </w:r>
            <w:r>
              <w:rPr>
                <w:rFonts w:hint="eastAsia" w:ascii="新細明體" w:hAnsi="新細明體" w:eastAsia="新細明體" w:cs="新細明體"/>
              </w:rPr>
              <w:t>公司下列人員應具備高級業務員之資格：</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hangingChars="165"/>
            </w:pPr>
            <w:r>
              <w:rPr>
                <w:rFonts w:hint="eastAsia" w:ascii="新細明體" w:hAnsi="新細明體" w:eastAsia="新細明體" w:cs="新細明體"/>
              </w:rPr>
              <w:t>(九)</w:t>
            </w:r>
            <w:r>
              <w:rPr>
                <w:rFonts w:hint="eastAsia" w:ascii="新細明體" w:hAnsi="新細明體" w:eastAsia="新細明體" w:cs="新細明體"/>
              </w:rPr>
              <w:t>公司下列人員應具備高級業務員之資格：</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1.</w:t>
            </w:r>
            <w:r>
              <w:rPr>
                <w:rFonts w:hint="eastAsia" w:ascii="新細明體" w:hAnsi="新細明體" w:eastAsia="新細明體" w:cs="新細明體"/>
              </w:rPr>
              <w:t>從事「證券商負責人與業務人員管理規則」第八條第一項規定之部門主管(外國證券商在中華民國境內分支機構之財務及股務部門主管除外)。</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1.</w:t>
            </w:r>
            <w:r>
              <w:rPr>
                <w:rFonts w:hint="eastAsia" w:ascii="新細明體" w:hAnsi="新細明體" w:eastAsia="新細明體" w:cs="新細明體"/>
              </w:rPr>
              <w:t>從事「證券商負責人與業務人員管理規則」第八條第一項規定之部門主管(外國證券商在中華民國境內分支機構之財務及股務部門主管除外)。</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2.</w:t>
            </w:r>
            <w:r>
              <w:rPr>
                <w:rFonts w:hint="eastAsia" w:ascii="新細明體" w:hAnsi="新細明體" w:eastAsia="新細明體" w:cs="新細明體"/>
              </w:rPr>
              <w:t>投資分析人員或向客戶推介買賣有價證券之研究報告撰寫或複核者。</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2.</w:t>
            </w:r>
            <w:r>
              <w:rPr>
                <w:rFonts w:hint="eastAsia" w:ascii="新細明體" w:hAnsi="新細明體" w:eastAsia="新細明體" w:cs="新細明體"/>
              </w:rPr>
              <w:t>投資分析人員或向客戶推介買賣有價證券之研究報告撰寫或複核者。</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3.</w:t>
            </w:r>
            <w:r>
              <w:rPr>
                <w:rFonts w:hint="eastAsia" w:ascii="新細明體" w:hAnsi="新細明體" w:eastAsia="新細明體" w:cs="新細明體"/>
              </w:rPr>
              <w:t>內部稽核人員(具有業務員資格並經參加主管機關所認可機構舉辦之內部稽核人員訓練及格結業，擔任總公司非稽核主管職務</w:t>
            </w:r>
            <w:r>
              <w:rPr>
                <w:rFonts w:hint="eastAsia" w:ascii="新細明體" w:hAnsi="新細明體" w:eastAsia="新細明體" w:cs="新細明體"/>
                <w:b/>
                <w:u w:val="single"/>
                <w:color w:val="FF0000 "/>
              </w:rPr>
              <w:t>、分支機構</w:t>
            </w:r>
            <w:r>
              <w:rPr>
                <w:rFonts w:hint="eastAsia" w:ascii="新細明體" w:hAnsi="新細明體" w:eastAsia="新細明體" w:cs="新細明體"/>
              </w:rPr>
              <w:t>或</w:t>
            </w:r>
            <w:r>
              <w:rPr>
                <w:rFonts w:hint="eastAsia" w:ascii="新細明體" w:hAnsi="新細明體" w:eastAsia="新細明體" w:cs="新細明體"/>
                <w:b/>
                <w:u w:val="single"/>
                <w:color w:val="FF0000 "/>
              </w:rPr>
              <w:t>簡易</w:t>
            </w:r>
            <w:r>
              <w:rPr>
                <w:rFonts w:hint="eastAsia" w:ascii="新細明體" w:hAnsi="新細明體" w:eastAsia="新細明體" w:cs="新細明體"/>
              </w:rPr>
              <w:t>分</w:t>
            </w:r>
            <w:r>
              <w:rPr>
                <w:rFonts w:hint="eastAsia" w:ascii="新細明體" w:hAnsi="新細明體" w:eastAsia="新細明體" w:cs="新細明體"/>
                <w:b/>
                <w:u w:val="single"/>
                <w:color w:val="FF0000 "/>
              </w:rPr>
              <w:t>支機構</w:t>
            </w:r>
            <w:r>
              <w:rPr>
                <w:rFonts w:hint="eastAsia" w:ascii="新細明體" w:hAnsi="新細明體" w:eastAsia="新細明體" w:cs="新細明體"/>
              </w:rPr>
              <w:t>稽核工作者除外)</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3.</w:t>
            </w:r>
            <w:r>
              <w:rPr>
                <w:rFonts w:hint="eastAsia" w:ascii="新細明體" w:hAnsi="新細明體" w:eastAsia="新細明體" w:cs="新細明體"/>
              </w:rPr>
              <w:t>內部稽核人員(具有業務員資格並經參加主管機關所認可機構舉辦之內部稽核人員訓練及格結業，擔任總公司非稽核主管職務或分</w:t>
            </w:r>
            <w:r>
              <w:rPr>
                <w:rFonts w:hint="eastAsia" w:ascii="新細明體" w:hAnsi="新細明體" w:eastAsia="新細明體" w:cs="新細明體"/>
                <w:b/>
                <w:color w:val="FF0000 "/>
              </w:rPr>
              <w:t>公司</w:t>
            </w:r>
            <w:r>
              <w:rPr>
                <w:rFonts w:hint="eastAsia" w:ascii="新細明體" w:hAnsi="新細明體" w:eastAsia="新細明體" w:cs="新細明體"/>
              </w:rPr>
              <w:t>稽核工作者除外)</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4.</w:t>
            </w:r>
            <w:r>
              <w:rPr>
                <w:rFonts w:hint="eastAsia" w:ascii="新細明體" w:hAnsi="新細明體" w:eastAsia="新細明體" w:cs="新細明體"/>
              </w:rPr>
              <w:t>分支機構</w:t>
            </w:r>
            <w:r>
              <w:rPr>
                <w:rFonts w:hint="eastAsia" w:ascii="新細明體" w:hAnsi="新細明體" w:eastAsia="新細明體" w:cs="新細明體"/>
                <w:b/>
                <w:u w:val="single"/>
                <w:color w:val="FF0000 "/>
              </w:rPr>
              <w:t>及簡易分支機構</w:t>
            </w:r>
            <w:r>
              <w:rPr>
                <w:rFonts w:hint="eastAsia" w:ascii="新細明體" w:hAnsi="新細明體" w:eastAsia="新細明體" w:cs="新細明體"/>
              </w:rPr>
              <w:t>負責人(外國證券商在中華民國境內分支機構之負責人除外)。</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4.</w:t>
            </w:r>
            <w:r>
              <w:rPr>
                <w:rFonts w:hint="eastAsia" w:ascii="新細明體" w:hAnsi="新細明體" w:eastAsia="新細明體" w:cs="新細明體"/>
              </w:rPr>
              <w:t>分支機構負責人(外國證券商在中華民國境內分支機構之負責人除外)。</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hangingChars="165"/>
            </w:pPr>
            <w:r>
              <w:rPr>
                <w:rFonts w:hint="eastAsia" w:ascii="新細明體" w:hAnsi="新細明體" w:eastAsia="新細明體" w:cs="新細明體"/>
              </w:rPr>
              <w:t>(十)</w:t>
            </w:r>
            <w:r>
              <w:rPr>
                <w:rFonts w:hint="eastAsia" w:ascii="新細明體" w:hAnsi="新細明體" w:eastAsia="新細明體" w:cs="新細明體"/>
              </w:rPr>
              <w:t>登記為事務員不得執行或兼為高級業務員及業務員之業務；登記為業務員不得執行或兼為高級業務員之業務。</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hangingChars="165"/>
            </w:pPr>
            <w:r>
              <w:rPr>
                <w:rFonts w:hint="eastAsia" w:ascii="新細明體" w:hAnsi="新細明體" w:eastAsia="新細明體" w:cs="新細明體"/>
              </w:rPr>
              <w:t>(十)</w:t>
            </w:r>
            <w:r>
              <w:rPr>
                <w:rFonts w:hint="eastAsia" w:ascii="新細明體" w:hAnsi="新細明體" w:eastAsia="新細明體" w:cs="新細明體"/>
              </w:rPr>
              <w:t>登記為事務員不得執行或兼為高級業務員及業務員之業務；登記為業務員不得執行或兼為高級業務員之業務。</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hangingChars="270"/>
            </w:pPr>
            <w:r>
              <w:rPr>
                <w:rFonts w:hint="eastAsia" w:ascii="新細明體" w:hAnsi="新細明體" w:eastAsia="新細明體" w:cs="新細明體"/>
              </w:rPr>
              <w:t>(十一)</w:t>
            </w:r>
            <w:r>
              <w:rPr>
                <w:rFonts w:hint="eastAsia" w:ascii="新細明體" w:hAnsi="新細明體" w:eastAsia="新細明體" w:cs="新細明體"/>
              </w:rPr>
              <w:t>公司人員異動之申報：</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hangingChars="270"/>
            </w:pPr>
            <w:r>
              <w:rPr>
                <w:rFonts w:hint="eastAsia" w:ascii="新細明體" w:hAnsi="新細明體" w:eastAsia="新細明體" w:cs="新細明體"/>
              </w:rPr>
              <w:t>(十一)</w:t>
            </w:r>
            <w:r>
              <w:rPr>
                <w:rFonts w:hint="eastAsia" w:ascii="新細明體" w:hAnsi="新細明體" w:eastAsia="新細明體" w:cs="新細明體"/>
              </w:rPr>
              <w:t>公司人員異動之申報：</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1.</w:t>
            </w:r>
            <w:r>
              <w:rPr>
                <w:rFonts w:hint="eastAsia" w:ascii="新細明體" w:hAnsi="新細明體" w:eastAsia="新細明體" w:cs="新細明體"/>
              </w:rPr>
              <w:t>負責人、業務人員及事務員有異動時，應於異動後五日內向證交所、券商公會或櫃檯買賣中心申報登記；惟如係國外分支機構，其申報登記應於異動後十日內為之。</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1.</w:t>
            </w:r>
            <w:r>
              <w:rPr>
                <w:rFonts w:hint="eastAsia" w:ascii="新細明體" w:hAnsi="新細明體" w:eastAsia="新細明體" w:cs="新細明體"/>
              </w:rPr>
              <w:t>負責人、業務人員及事務員有異動時，應於異動後五日內向證交所、券商公會或櫃檯買賣中心申報登記；惟如係國外分支機構，其申報登記應於異動後十日內為之。</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2.</w:t>
            </w:r>
            <w:r>
              <w:rPr>
                <w:rFonts w:hint="eastAsia" w:ascii="新細明體" w:hAnsi="新細明體" w:eastAsia="新細明體" w:cs="新細明體"/>
              </w:rPr>
              <w:t>內部稽核人員之異動，應於異動前，先申請證交所、券商公會或櫃檯買賣中心核備後，始得異動之。</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2.</w:t>
            </w:r>
            <w:r>
              <w:rPr>
                <w:rFonts w:hint="eastAsia" w:ascii="新細明體" w:hAnsi="新細明體" w:eastAsia="新細明體" w:cs="新細明體"/>
              </w:rPr>
              <w:t>內部稽核人員之異動，應於異動前，先申請證交所、券商公會或櫃檯買賣中心核備後，始得異動之。</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3.</w:t>
            </w:r>
            <w:r>
              <w:rPr>
                <w:rFonts w:hint="eastAsia" w:ascii="新細明體" w:hAnsi="新細明體" w:eastAsia="新細明體" w:cs="新細明體"/>
              </w:rPr>
              <w:t>公司在辦妥異動之登記前，對各該人員之行為仍不能免責。</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3.</w:t>
            </w:r>
            <w:r>
              <w:rPr>
                <w:rFonts w:hint="eastAsia" w:ascii="新細明體" w:hAnsi="新細明體" w:eastAsia="新細明體" w:cs="新細明體"/>
              </w:rPr>
              <w:t>公司在辦妥異動之登記前，對各該人員之行為仍不能免責。</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hangingChars="270"/>
            </w:pPr>
            <w:r>
              <w:rPr>
                <w:rFonts w:hint="eastAsia" w:ascii="新細明體" w:hAnsi="新細明體" w:eastAsia="新細明體" w:cs="新細明體"/>
              </w:rPr>
              <w:t>(十二)</w:t>
            </w:r>
            <w:r>
              <w:rPr>
                <w:rFonts w:hint="eastAsia" w:ascii="新細明體" w:hAnsi="新細明體" w:eastAsia="新細明體" w:cs="新細明體"/>
              </w:rPr>
              <w:t>敘薪應依人事制度簽報核准後支給。</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hangingChars="270"/>
            </w:pPr>
            <w:r>
              <w:rPr>
                <w:rFonts w:hint="eastAsia" w:ascii="新細明體" w:hAnsi="新細明體" w:eastAsia="新細明體" w:cs="新細明體"/>
              </w:rPr>
              <w:t>(十二)</w:t>
            </w:r>
            <w:r>
              <w:rPr>
                <w:rFonts w:hint="eastAsia" w:ascii="新細明體" w:hAnsi="新細明體" w:eastAsia="新細明體" w:cs="新細明體"/>
              </w:rPr>
              <w:t>敘薪應依人事制度簽報核准後支給。</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hangingChars="270"/>
            </w:pPr>
            <w:r>
              <w:rPr>
                <w:rFonts w:hint="eastAsia" w:ascii="新細明體" w:hAnsi="新細明體" w:eastAsia="新細明體" w:cs="新細明體"/>
              </w:rPr>
              <w:t>(十三)</w:t>
            </w:r>
            <w:r>
              <w:rPr>
                <w:rFonts w:hint="eastAsia" w:ascii="新細明體" w:hAnsi="新細明體" w:eastAsia="新細明體" w:cs="新細明體"/>
              </w:rPr>
              <w:t>不得以任何方式聘僱證交所人員擔任兼職，或予以名譽職位。</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hangingChars="270"/>
            </w:pPr>
            <w:r>
              <w:rPr>
                <w:rFonts w:hint="eastAsia" w:ascii="新細明體" w:hAnsi="新細明體" w:eastAsia="新細明體" w:cs="新細明體"/>
              </w:rPr>
              <w:t>(十三)</w:t>
            </w:r>
            <w:r>
              <w:rPr>
                <w:rFonts w:hint="eastAsia" w:ascii="新細明體" w:hAnsi="新細明體" w:eastAsia="新細明體" w:cs="新細明體"/>
              </w:rPr>
              <w:t>不得以任何方式聘僱證交所人員擔任兼職，或予以名譽職位。</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hangingChars="270"/>
            </w:pPr>
            <w:r>
              <w:rPr>
                <w:rFonts w:hint="eastAsia" w:ascii="新細明體" w:hAnsi="新細明體" w:eastAsia="新細明體" w:cs="新細明體"/>
              </w:rPr>
              <w:t>(十四)</w:t>
            </w:r>
            <w:r>
              <w:rPr>
                <w:rFonts w:hint="eastAsia" w:ascii="新細明體" w:hAnsi="新細明體" w:eastAsia="新細明體" w:cs="新細明體"/>
              </w:rPr>
              <w:t>經主管機關依證券交易法規定命令解除職務者，不得充任公司之董事、監察人、經理人及對有價證券營業行為直接有關之業務人員。如僱用從事與有價證券營業行為無直接有關之行政事務，亦應向證交所申報登記。僱用經期貨交易法解除職務在案之人員從事證券業務之執行，應就其業務風險之控管及客戶權益之保障作充分考量，並於向證交所(櫃檯買賣中心或公會)進行人員登記時，出具聲明，表達其將善盡善良管理人之義務。</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hangingChars="270"/>
            </w:pPr>
            <w:r>
              <w:rPr>
                <w:rFonts w:hint="eastAsia" w:ascii="新細明體" w:hAnsi="新細明體" w:eastAsia="新細明體" w:cs="新細明體"/>
              </w:rPr>
              <w:t>(十四)</w:t>
            </w:r>
            <w:r>
              <w:rPr>
                <w:rFonts w:hint="eastAsia" w:ascii="新細明體" w:hAnsi="新細明體" w:eastAsia="新細明體" w:cs="新細明體"/>
              </w:rPr>
              <w:t>經主管機關依證券交易法規定命令解除職務者，不得充任公司之董事、監察人、經理人及對有價證券營業行為直接有關之業務人員。如僱用從事與有價證券營業行為無直接有關之行政事務，亦應向證交所申報登記。僱用經期貨交易法解除職務在案之人員從事證券業務之執行，應就其業務風險之控管及客戶權益之保障作充分考量，並於向證交所(櫃檯買賣中心或公會)進行人員登記時，出具聲明，表達其將善盡善良管理人之義務。</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hangingChars="270"/>
            </w:pPr>
            <w:r>
              <w:rPr>
                <w:rFonts w:hint="eastAsia" w:ascii="新細明體" w:hAnsi="新細明體" w:eastAsia="新細明體" w:cs="新細明體"/>
              </w:rPr>
              <w:t>(十五)</w:t>
            </w:r>
            <w:r>
              <w:rPr>
                <w:rFonts w:hint="eastAsia" w:ascii="新細明體" w:hAnsi="新細明體" w:eastAsia="新細明體" w:cs="新細明體"/>
              </w:rPr>
              <w:t>展業人員之管理：</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hangingChars="270"/>
            </w:pPr>
            <w:r>
              <w:rPr>
                <w:rFonts w:hint="eastAsia" w:ascii="新細明體" w:hAnsi="新細明體" w:eastAsia="新細明體" w:cs="新細明體"/>
              </w:rPr>
              <w:t>(十五)</w:t>
            </w:r>
            <w:r>
              <w:rPr>
                <w:rFonts w:hint="eastAsia" w:ascii="新細明體" w:hAnsi="新細明體" w:eastAsia="新細明體" w:cs="新細明體"/>
              </w:rPr>
              <w:t>展業人員之管理：</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1.</w:t>
            </w:r>
            <w:r>
              <w:rPr>
                <w:rFonts w:hint="eastAsia" w:ascii="新細明體" w:hAnsi="新細明體" w:eastAsia="新細明體" w:cs="新細明體"/>
              </w:rPr>
              <w:t>展業人員亦為業務人員範疇，仍須受業務人員相關法令規範，並應由合格且經辦妥登記之業務人員執行職務。</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1.</w:t>
            </w:r>
            <w:r>
              <w:rPr>
                <w:rFonts w:hint="eastAsia" w:ascii="新細明體" w:hAnsi="新細明體" w:eastAsia="新細明體" w:cs="新細明體"/>
              </w:rPr>
              <w:t>展業人員亦為業務人員範疇，仍須受業務人員相關法令規範，並應由合格且經辦妥登記之業務人員執行職務。</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2.</w:t>
            </w:r>
            <w:r>
              <w:rPr>
                <w:rFonts w:hint="eastAsia" w:ascii="新細明體" w:hAnsi="新細明體" w:eastAsia="新細明體" w:cs="新細明體"/>
              </w:rPr>
              <w:t>展業人員之工作項目、範圍、執行業務所填具之「推展業務紀錄表」(至少保存一年)及其推展業績獎金計算與發放辦法，應依公司自訂之「展業人員管理辦法」辦理。</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2.</w:t>
            </w:r>
            <w:r>
              <w:rPr>
                <w:rFonts w:hint="eastAsia" w:ascii="新細明體" w:hAnsi="新細明體" w:eastAsia="新細明體" w:cs="新細明體"/>
              </w:rPr>
              <w:t>展業人員之工作項目、範圍、執行業務所填具之「推展業務紀錄表」(至少保存一年)及其推展業績獎金計算與發放辦法，應依公司自訂之「展業人員管理辦法」辦理。</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3.</w:t>
            </w:r>
            <w:r>
              <w:rPr>
                <w:rFonts w:hint="eastAsia" w:ascii="新細明體" w:hAnsi="新細明體" w:eastAsia="新細明體" w:cs="新細明體"/>
              </w:rPr>
              <w:t>內部稽核對於前開推展業務紀錄表應予列為定期稽核項目，並製作稽核報告。</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3.</w:t>
            </w:r>
            <w:r>
              <w:rPr>
                <w:rFonts w:hint="eastAsia" w:ascii="新細明體" w:hAnsi="新細明體" w:eastAsia="新細明體" w:cs="新細明體"/>
              </w:rPr>
              <w:t>內部稽核對於前開推展業務紀錄表應予列為定期稽核項目，並製作稽核報告。</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hangingChars="270"/>
            </w:pPr>
            <w:r>
              <w:rPr>
                <w:rFonts w:hint="eastAsia" w:ascii="新細明體" w:hAnsi="新細明體" w:eastAsia="新細明體" w:cs="新細明體"/>
              </w:rPr>
              <w:t>(十六)</w:t>
            </w:r>
            <w:r>
              <w:rPr>
                <w:rFonts w:hint="eastAsia" w:ascii="新細明體" w:hAnsi="新細明體" w:eastAsia="新細明體" w:cs="新細明體"/>
              </w:rPr>
              <w:t>業務人員之職稱應依「證券商負責人與業務人員管理規則」第三條及主管機關規定辦理，不得使用「理財專員」、「網路專員」或其他易使客戶滋生誤解之類似名稱執行業務。</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hangingChars="270"/>
            </w:pPr>
            <w:r>
              <w:rPr>
                <w:rFonts w:hint="eastAsia" w:ascii="新細明體" w:hAnsi="新細明體" w:eastAsia="新細明體" w:cs="新細明體"/>
              </w:rPr>
              <w:t>(十六)</w:t>
            </w:r>
            <w:r>
              <w:rPr>
                <w:rFonts w:hint="eastAsia" w:ascii="新細明體" w:hAnsi="新細明體" w:eastAsia="新細明體" w:cs="新細明體"/>
              </w:rPr>
              <w:t>業務人員之職稱應依「證券商負責人與業務人員管理規則」第三條及主管機關規定辦理，不得使用「理財專員」、「網路專員」或其他易使客戶滋生誤解之類似名稱執行業務。</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hangingChars="270"/>
            </w:pPr>
            <w:r>
              <w:rPr>
                <w:rFonts w:hint="eastAsia" w:ascii="新細明體" w:hAnsi="新細明體" w:eastAsia="新細明體" w:cs="新細明體"/>
              </w:rPr>
              <w:t>(十七)</w:t>
            </w:r>
            <w:r>
              <w:rPr>
                <w:rFonts w:hint="eastAsia" w:ascii="新細明體" w:hAnsi="新細明體" w:eastAsia="新細明體" w:cs="新細明體"/>
              </w:rPr>
              <w:t>公司之董事長、總經理暨「證券商負責人與業務人員管理規則」第八條第一項所定部門之主管、督導該部門或各該部門之副總經理、協理、經理及分支機構負責人之資格應符合「證券商負責人與業務人員管理規則」相關規定。</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hangingChars="270"/>
            </w:pPr>
            <w:r>
              <w:rPr>
                <w:rFonts w:hint="eastAsia" w:ascii="新細明體" w:hAnsi="新細明體" w:eastAsia="新細明體" w:cs="新細明體"/>
              </w:rPr>
              <w:t>(十七)</w:t>
            </w:r>
            <w:r>
              <w:rPr>
                <w:rFonts w:hint="eastAsia" w:ascii="新細明體" w:hAnsi="新細明體" w:eastAsia="新細明體" w:cs="新細明體"/>
              </w:rPr>
              <w:t>公司之董事長、總經理暨「證券商負責人與業務人員管理規則」第八條第一項所定部門之主管、督導該部門或各該部門之副總經理、協理、經理及分支機構負責人之資格應符合「證券商負責人與業務人員管理規則」相關規定。</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hangingChars="270"/>
            </w:pPr>
            <w:r>
              <w:rPr>
                <w:rFonts w:hint="eastAsia" w:ascii="新細明體" w:hAnsi="新細明體" w:eastAsia="新細明體" w:cs="新細明體"/>
              </w:rPr>
              <w:t>(十八)</w:t>
            </w:r>
            <w:r>
              <w:rPr>
                <w:rFonts w:hint="eastAsia" w:ascii="新細明體" w:hAnsi="新細明體" w:eastAsia="新細明體" w:cs="新細明體"/>
              </w:rPr>
              <w:t>公司投資創業投資事業或私募股權基金（含公司或其直接、間接持股百分之百之子公司在大陸地區及外國所投資者）、受託管理私募股權基金，除適用證券商負責人與業務人員管理規則第十一條之一規定之限制外，公司之負責人或受僱人亦不得擔任該創業投資事業或私募股權基金所投資事業之經理人。</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hangingChars="270"/>
            </w:pPr>
            <w:r>
              <w:rPr>
                <w:rFonts w:hint="eastAsia" w:ascii="新細明體" w:hAnsi="新細明體" w:eastAsia="新細明體" w:cs="新細明體"/>
              </w:rPr>
              <w:t>(十八)</w:t>
            </w:r>
            <w:r>
              <w:rPr>
                <w:rFonts w:hint="eastAsia" w:ascii="新細明體" w:hAnsi="新細明體" w:eastAsia="新細明體" w:cs="新細明體"/>
              </w:rPr>
              <w:t>公司投資創業投資事業或私募股權基金（含公司或其直接、間接持股百分之百之子公司在大陸地區及外國所投資者）、受託管理私募股權基金，除適用證券商負責人與業務人員管理規則第十一條之一規定之限制外，公司之負責人或受僱人亦不得擔任該創業投資事業或私募股權基金所投資事業之經理人。</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hangingChars="270"/>
            </w:pPr>
            <w:r>
              <w:rPr>
                <w:rFonts w:hint="eastAsia" w:ascii="新細明體" w:hAnsi="新細明體" w:eastAsia="新細明體" w:cs="新細明體"/>
              </w:rPr>
              <w:t>(十九)</w:t>
            </w:r>
            <w:r>
              <w:rPr>
                <w:rFonts w:hint="eastAsia" w:ascii="新細明體" w:hAnsi="新細明體" w:eastAsia="新細明體" w:cs="新細明體"/>
              </w:rPr>
              <w:t>公司兼營期貨業務或經營期貨交易輔助業務者，得依期貨商負責人及業務員管理規則第7條或證券商經營期貨交易輔助業務管理規則第27條規定同時辦理證券及期貨之相同性質業務。</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hangingChars="270"/>
            </w:pPr>
            <w:r>
              <w:rPr>
                <w:rFonts w:hint="eastAsia" w:ascii="新細明體" w:hAnsi="新細明體" w:eastAsia="新細明體" w:cs="新細明體"/>
              </w:rPr>
              <w:t>(十九)</w:t>
            </w:r>
            <w:r>
              <w:rPr>
                <w:rFonts w:hint="eastAsia" w:ascii="新細明體" w:hAnsi="新細明體" w:eastAsia="新細明體" w:cs="新細明體"/>
              </w:rPr>
              <w:t>公司兼營期貨業務或經營期貨交易輔助業務者，得依期貨商負責人及業務員管理規則第7條或證券商經營期貨交易輔助業務管理規則第27條規定同時辦理證券及期貨之相同性質業務。</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hangingChars="270"/>
            </w:pPr>
            <w:r>
              <w:rPr>
                <w:rFonts w:hint="eastAsia" w:ascii="新細明體" w:hAnsi="新細明體" w:eastAsia="新細明體" w:cs="新細明體"/>
              </w:rPr>
              <w:t>(二十)</w:t>
            </w:r>
            <w:r>
              <w:rPr>
                <w:rFonts w:hint="eastAsia" w:ascii="新細明體" w:hAnsi="新細明體" w:eastAsia="新細明體" w:cs="新細明體"/>
              </w:rPr>
              <w:t>總公司得統籌辦理分</w:t>
            </w:r>
            <w:r>
              <w:rPr>
                <w:rFonts w:hint="eastAsia" w:ascii="新細明體" w:hAnsi="新細明體" w:eastAsia="新細明體" w:cs="新細明體"/>
                <w:b/>
                <w:u w:val="single"/>
                <w:color w:val="FF0000 "/>
              </w:rPr>
              <w:t>支機構</w:t>
            </w:r>
            <w:r>
              <w:rPr>
                <w:rFonts w:hint="eastAsia" w:ascii="新細明體" w:hAnsi="新細明體" w:eastAsia="新細明體" w:cs="新細明體"/>
              </w:rPr>
              <w:t>信用及財務等後檯相關業務之規範如下，且應將由總公司統籌辦理之作業流程及管控措施等明訂於內部控制制度(註：請公司自訂)：</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hangingChars="270"/>
            </w:pPr>
            <w:r>
              <w:rPr>
                <w:rFonts w:hint="eastAsia" w:ascii="新細明體" w:hAnsi="新細明體" w:eastAsia="新細明體" w:cs="新細明體"/>
              </w:rPr>
              <w:t>(二十)</w:t>
            </w:r>
            <w:r>
              <w:rPr>
                <w:rFonts w:hint="eastAsia" w:ascii="新細明體" w:hAnsi="新細明體" w:eastAsia="新細明體" w:cs="新細明體"/>
              </w:rPr>
              <w:t>總公司得統籌辦理分</w:t>
            </w:r>
            <w:r>
              <w:rPr>
                <w:rFonts w:hint="eastAsia" w:ascii="新細明體" w:hAnsi="新細明體" w:eastAsia="新細明體" w:cs="新細明體"/>
                <w:b/>
                <w:color w:val="FF0000 "/>
              </w:rPr>
              <w:t>公司</w:t>
            </w:r>
            <w:r>
              <w:rPr>
                <w:rFonts w:hint="eastAsia" w:ascii="新細明體" w:hAnsi="新細明體" w:eastAsia="新細明體" w:cs="新細明體"/>
              </w:rPr>
              <w:t>信用及財務等後檯相關業務之規範如下，且應將由總公司統籌辦理之作業流程及管控措施等明訂於內部控制制度(註：請公司自訂)：</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1.</w:t>
            </w:r>
            <w:r>
              <w:rPr>
                <w:rFonts w:hint="eastAsia" w:ascii="新細明體" w:hAnsi="新細明體" w:eastAsia="新細明體" w:cs="新細明體"/>
              </w:rPr>
              <w:t>分</w:t>
            </w:r>
            <w:r>
              <w:rPr>
                <w:rFonts w:hint="eastAsia" w:ascii="新細明體" w:hAnsi="新細明體" w:eastAsia="新細明體" w:cs="新細明體"/>
                <w:b/>
                <w:u w:val="single"/>
                <w:color w:val="FF0000 "/>
              </w:rPr>
              <w:t>支機構</w:t>
            </w:r>
            <w:r>
              <w:rPr>
                <w:rFonts w:hint="eastAsia" w:ascii="新細明體" w:hAnsi="新細明體" w:eastAsia="新細明體" w:cs="新細明體"/>
              </w:rPr>
              <w:t>之信用及財務相關作業及每日帳務報表覆核、確認、結帳及留存等後檯事務由總公司辦理，應確保資料完善保存。</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1.</w:t>
            </w:r>
            <w:r>
              <w:rPr>
                <w:rFonts w:hint="eastAsia" w:ascii="新細明體" w:hAnsi="新細明體" w:eastAsia="新細明體" w:cs="新細明體"/>
              </w:rPr>
              <w:t>分</w:t>
            </w:r>
            <w:r>
              <w:rPr>
                <w:rFonts w:hint="eastAsia" w:ascii="新細明體" w:hAnsi="新細明體" w:eastAsia="新細明體" w:cs="新細明體"/>
                <w:b/>
                <w:color w:val="FF0000 "/>
              </w:rPr>
              <w:t>公司</w:t>
            </w:r>
            <w:r>
              <w:rPr>
                <w:rFonts w:hint="eastAsia" w:ascii="新細明體" w:hAnsi="新細明體" w:eastAsia="新細明體" w:cs="新細明體"/>
              </w:rPr>
              <w:t>之信用及財務相關作業及每日帳務報表覆核、確認、結帳及留存等後檯事務由總公司辦理，應確保資料完善保存。</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2.</w:t>
            </w:r>
            <w:r>
              <w:rPr>
                <w:rFonts w:hint="eastAsia" w:ascii="新細明體" w:hAnsi="新細明體" w:eastAsia="新細明體" w:cs="新細明體"/>
              </w:rPr>
              <w:t>委由總公司辦理之相關後檯作業，應檢視現行業務權責並釐清後續權責歸屬。</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2.</w:t>
            </w:r>
            <w:r>
              <w:rPr>
                <w:rFonts w:hint="eastAsia" w:ascii="新細明體" w:hAnsi="新細明體" w:eastAsia="新細明體" w:cs="新細明體"/>
              </w:rPr>
              <w:t>委由總公司辦理之相關後檯作業，應檢視現行業務權責並釐清後續權責歸屬。</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hangingChars="270"/>
            </w:pPr>
            <w:r>
              <w:rPr>
                <w:rFonts w:hint="eastAsia" w:ascii="新細明體" w:hAnsi="新細明體" w:eastAsia="新細明體" w:cs="新細明體"/>
              </w:rPr>
              <w:t>(二十一)</w:t>
            </w:r>
            <w:r>
              <w:rPr>
                <w:rFonts w:hint="eastAsia" w:ascii="新細明體" w:hAnsi="新細明體" w:eastAsia="新細明體" w:cs="新細明體"/>
              </w:rPr>
              <w:t>公司如為上市或上櫃證券商及金融控股公司之證券子公司，內部稽核主管除應具備「證券商負責人與業務人員管理規則」第十條第一項所定之資格條件外，其職位應等同於副總經理或同等職務，並應報經主管機關審查合格後始得充任。</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hangingChars="270"/>
            </w:pPr>
            <w:r>
              <w:rPr>
                <w:rFonts w:hint="eastAsia" w:ascii="新細明體" w:hAnsi="新細明體" w:eastAsia="新細明體" w:cs="新細明體"/>
              </w:rPr>
              <w:t>(二十一)</w:t>
            </w:r>
            <w:r>
              <w:rPr>
                <w:rFonts w:hint="eastAsia" w:ascii="新細明體" w:hAnsi="新細明體" w:eastAsia="新細明體" w:cs="新細明體"/>
              </w:rPr>
              <w:t>公司如為上市或上櫃證券商及金融控股公司之證券子公司，內部稽核主管除應具備「證券商負責人與業務人員管理規則」第十條第一項所定之資格條件外，其職位應等同於副總經理或同等職務，並應報經主管機關審查合格後始得充任。</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hangingChars="270"/>
            </w:pPr>
            <w:r>
              <w:rPr>
                <w:rFonts w:hint="eastAsia" w:ascii="新細明體" w:hAnsi="新細明體" w:eastAsia="新細明體" w:cs="新細明體"/>
              </w:rPr>
              <w:t>(二十二)</w:t>
            </w:r>
            <w:r>
              <w:rPr>
                <w:rFonts w:hint="eastAsia" w:ascii="新細明體" w:hAnsi="新細明體" w:eastAsia="新細明體" w:cs="新細明體"/>
              </w:rPr>
              <w:t>內部稽核單位之人事任用、免職、升遷、獎懲、輪調及考核等，應由稽核主管簽報，報經董事長核定後辦理。但涉及其他管理、營業單位人事者，應事先洽商人事單位轉報總經理同意後，再行簽報董事長核定。</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hangingChars="270"/>
            </w:pPr>
            <w:r>
              <w:rPr>
                <w:rFonts w:hint="eastAsia" w:ascii="新細明體" w:hAnsi="新細明體" w:eastAsia="新細明體" w:cs="新細明體"/>
              </w:rPr>
              <w:t>(二十二)</w:t>
            </w:r>
            <w:r>
              <w:rPr>
                <w:rFonts w:hint="eastAsia" w:ascii="新細明體" w:hAnsi="新細明體" w:eastAsia="新細明體" w:cs="新細明體"/>
              </w:rPr>
              <w:t>內部稽核單位之人事任用、免職、升遷、獎懲、輪調及考核等，應由稽核主管簽報，報經董事長核定後辦理。但涉及其他管理、營業單位人事者，應事先洽商人事單位轉報總經理同意後，再行簽報董事長核定。</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hangingChars="270"/>
            </w:pPr>
            <w:r>
              <w:rPr>
                <w:rFonts w:hint="eastAsia" w:ascii="新細明體" w:hAnsi="新細明體" w:eastAsia="新細明體" w:cs="新細明體"/>
              </w:rPr>
              <w:t>(二十三)</w:t>
            </w:r>
            <w:r>
              <w:rPr>
                <w:rFonts w:hint="eastAsia" w:ascii="新細明體" w:hAnsi="新細明體" w:eastAsia="新細明體" w:cs="新細明體"/>
              </w:rPr>
              <w:t>公司應置總經理一人，負責綜理全公司之業務，且不得有其他職責相當之人。</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hangingChars="270"/>
            </w:pPr>
            <w:r>
              <w:rPr>
                <w:rFonts w:hint="eastAsia" w:ascii="新細明體" w:hAnsi="新細明體" w:eastAsia="新細明體" w:cs="新細明體"/>
              </w:rPr>
              <w:t>(二十三)</w:t>
            </w:r>
            <w:r>
              <w:rPr>
                <w:rFonts w:hint="eastAsia" w:ascii="新細明體" w:hAnsi="新細明體" w:eastAsia="新細明體" w:cs="新細明體"/>
              </w:rPr>
              <w:t>公司應置總經理一人，負責綜理全公司之業務，且不得有其他職責相當之人。</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hangingChars="270"/>
            </w:pPr>
            <w:r>
              <w:rPr>
                <w:rFonts w:hint="eastAsia" w:ascii="新細明體" w:hAnsi="新細明體" w:eastAsia="新細明體" w:cs="新細明體"/>
              </w:rPr>
              <w:t>(二十四)</w:t>
            </w:r>
            <w:r>
              <w:rPr>
                <w:rFonts w:hint="eastAsia" w:ascii="新細明體" w:hAnsi="新細明體" w:eastAsia="新細明體" w:cs="新細明體"/>
              </w:rPr>
              <w:t>公司之董事長不得兼任總經理。但有下列情形之一，經主管機關核准者，不在此限：</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hangingChars="270"/>
            </w:pPr>
            <w:r>
              <w:rPr>
                <w:rFonts w:hint="eastAsia" w:ascii="新細明體" w:hAnsi="新細明體" w:eastAsia="新細明體" w:cs="新細明體"/>
              </w:rPr>
              <w:t>(二十四)</w:t>
            </w:r>
            <w:r>
              <w:rPr>
                <w:rFonts w:hint="eastAsia" w:ascii="新細明體" w:hAnsi="新細明體" w:eastAsia="新細明體" w:cs="新細明體"/>
              </w:rPr>
              <w:t>公司之董事長不得兼任總經理。但有下列情形之一，經主管機關核准者，不在此限：</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1.</w:t>
            </w:r>
            <w:r>
              <w:rPr>
                <w:rFonts w:hint="eastAsia" w:ascii="新細明體" w:hAnsi="新細明體" w:eastAsia="新細明體" w:cs="新細明體"/>
              </w:rPr>
              <w:t>公司未兼營其他事業並僅經營單一業務種類，且僅有單一營業據點；或僅經營單一業務種類並僅兼營期貨交易輔助業務，且僅有單一營業據點。</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1.</w:t>
            </w:r>
            <w:r>
              <w:rPr>
                <w:rFonts w:hint="eastAsia" w:ascii="新細明體" w:hAnsi="新細明體" w:eastAsia="新細明體" w:cs="新細明體"/>
              </w:rPr>
              <w:t>公司未兼營其他事業並僅經營單一業務種類，且僅有單一營業據點；或僅經營單一業務種類並僅兼營期貨交易輔助業務，且僅有單一營業據點。</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2.</w:t>
            </w:r>
            <w:r>
              <w:rPr>
                <w:rFonts w:hint="eastAsia" w:ascii="新細明體" w:hAnsi="新細明體" w:eastAsia="新細明體" w:cs="新細明體"/>
              </w:rPr>
              <w:t>公司將因解散、合併而消滅，且其董事長或總經理有辭職或其他無法繼續執行職務之情形。</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2.</w:t>
            </w:r>
            <w:r>
              <w:rPr>
                <w:rFonts w:hint="eastAsia" w:ascii="新細明體" w:hAnsi="新細明體" w:eastAsia="新細明體" w:cs="新細明體"/>
              </w:rPr>
              <w:t>公司將因解散、合併而消滅，且其董事長或總經理有辭職或其他無法繼續執行職務之情形。</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3.</w:t>
            </w:r>
            <w:r>
              <w:rPr>
                <w:rFonts w:hint="eastAsia" w:ascii="新細明體" w:hAnsi="新細明體" w:eastAsia="新細明體" w:cs="新細明體"/>
              </w:rPr>
              <w:t>公司經主管機關撤銷營業許可，且其董事長或總經理有辭職或其他無法繼續執行職務之情形。</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3.</w:t>
            </w:r>
            <w:r>
              <w:rPr>
                <w:rFonts w:hint="eastAsia" w:ascii="新細明體" w:hAnsi="新細明體" w:eastAsia="新細明體" w:cs="新細明體"/>
              </w:rPr>
              <w:t>公司經主管機關撤銷營業許可，且其董事長或總經理有辭職或其他無法繼續執行職務之情形。</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4.</w:t>
            </w:r>
            <w:r>
              <w:rPr>
                <w:rFonts w:hint="eastAsia" w:ascii="新細明體" w:hAnsi="新細明體" w:eastAsia="新細明體" w:cs="新細明體"/>
              </w:rPr>
              <w:t>其他特殊事由。</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4.</w:t>
            </w:r>
            <w:r>
              <w:rPr>
                <w:rFonts w:hint="eastAsia" w:ascii="新細明體" w:hAnsi="新細明體" w:eastAsia="新細明體" w:cs="新細明體"/>
              </w:rPr>
              <w:t>其他特殊事由。</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hangingChars="270"/>
            </w:pPr>
            <w:r>
              <w:rPr>
                <w:rFonts w:hint="eastAsia" w:ascii="新細明體" w:hAnsi="新細明體" w:eastAsia="新細明體" w:cs="新細明體"/>
              </w:rPr>
              <w:t>(二十五)</w:t>
            </w:r>
            <w:r>
              <w:rPr>
                <w:rFonts w:hint="eastAsia" w:ascii="新細明體" w:hAnsi="新細明體" w:eastAsia="新細明體" w:cs="新細明體"/>
              </w:rPr>
              <w:t>公司聘任非屬一般員工之顧問、助理或職務相當之人，應與遴聘對象簽訂書面契約，並訂定相關作業程序(至少包含：評估聘任之必要性、具體顧問或辦理事項、應負責任、聘用程序、核定層級、聘任任期、報酬給付、考核及續聘標準、利益迴避，定期評估聘用成效與給付報酬是否相當等項目)；相關作業程序、顧問或助理之遴聘及報酬之給付應報經董事會通過後執行。所稱一般員工，指經公司規定正常程序聘用，其薪資條件、工作時間、同類職務工作內容、工作地點、教育訓練、請假、各類保險及考核方式，均與公司大多數員工或同職務員工相同或相當者。</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hangingChars="270"/>
            </w:pPr>
            <w:r>
              <w:rPr>
                <w:rFonts w:hint="eastAsia" w:ascii="新細明體" w:hAnsi="新細明體" w:eastAsia="新細明體" w:cs="新細明體"/>
              </w:rPr>
              <w:t>(二十五)</w:t>
            </w:r>
            <w:r>
              <w:rPr>
                <w:rFonts w:hint="eastAsia" w:ascii="新細明體" w:hAnsi="新細明體" w:eastAsia="新細明體" w:cs="新細明體"/>
              </w:rPr>
              <w:t>公司聘任非屬一般員工之顧問、助理或職務相當之人，應與遴聘對象簽訂書面契約，並訂定相關作業程序(至少包含：評估聘任之必要性、具體顧問或辦理事項、應負責任、聘用程序、核定層級、聘任任期、報酬給付、考核及續聘標準、利益迴避，定期評估聘用成效與給付報酬是否相當等項目)；相關作業程序、顧問或助理之遴聘及報酬之給付應報經董事會通過後執行。所稱一般員工，指經公司規定正常程序聘用，其薪資條件、工作時間、同類職務工作內容、工作地點、教育訓練、請假、各類保險及考核方式，均與公司大多數員工或同職務員工相同或相當者。</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hangingChars="270"/>
            </w:pPr>
            <w:r>
              <w:rPr>
                <w:rFonts w:hint="eastAsia" w:ascii="新細明體" w:hAnsi="新細明體" w:eastAsia="新細明體" w:cs="新細明體"/>
              </w:rPr>
              <w:t>(二十六)</w:t>
            </w:r>
            <w:r>
              <w:rPr>
                <w:rFonts w:hint="eastAsia" w:ascii="新細明體" w:hAnsi="新細明體" w:eastAsia="新細明體" w:cs="新細明體"/>
              </w:rPr>
              <w:t>設有分</w:t>
            </w:r>
            <w:r>
              <w:rPr>
                <w:rFonts w:hint="eastAsia" w:ascii="新細明體" w:hAnsi="新細明體" w:eastAsia="新細明體" w:cs="新細明體"/>
                <w:b/>
                <w:u w:val="single"/>
                <w:color w:val="FF0000 "/>
              </w:rPr>
              <w:t>支機構或簡易分支機構</w:t>
            </w:r>
            <w:r>
              <w:rPr>
                <w:rFonts w:hint="eastAsia" w:ascii="新細明體" w:hAnsi="新細明體" w:eastAsia="新細明體" w:cs="新細明體"/>
              </w:rPr>
              <w:t>之證券商，為防範舞弊情事發生，公司得於公司員工管理規則訂定</w:t>
            </w:r>
            <w:r>
              <w:rPr>
                <w:rFonts w:hint="eastAsia" w:ascii="新細明體" w:hAnsi="新細明體" w:eastAsia="新細明體" w:cs="新細明體"/>
                <w:b/>
                <w:u w:val="single"/>
                <w:color w:val="FF0000 "/>
              </w:rPr>
              <w:t>分支機構或簡易</w:t>
            </w:r>
            <w:r>
              <w:rPr>
                <w:rFonts w:hint="eastAsia" w:ascii="新細明體" w:hAnsi="新細明體" w:eastAsia="新細明體" w:cs="新細明體"/>
              </w:rPr>
              <w:t>分</w:t>
            </w:r>
            <w:r>
              <w:rPr>
                <w:rFonts w:hint="eastAsia" w:ascii="新細明體" w:hAnsi="新細明體" w:eastAsia="新細明體" w:cs="新細明體"/>
                <w:b/>
                <w:u w:val="single"/>
                <w:color w:val="FF0000 "/>
              </w:rPr>
              <w:t>支機構</w:t>
            </w:r>
            <w:r>
              <w:rPr>
                <w:rFonts w:hint="eastAsia" w:ascii="新細明體" w:hAnsi="新細明體" w:eastAsia="新細明體" w:cs="新細明體"/>
              </w:rPr>
              <w:t>經理人輪調機制。</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hangingChars="270"/>
            </w:pPr>
            <w:r>
              <w:rPr>
                <w:rFonts w:hint="eastAsia" w:ascii="新細明體" w:hAnsi="新細明體" w:eastAsia="新細明體" w:cs="新細明體"/>
              </w:rPr>
              <w:t>(二十六)</w:t>
            </w:r>
            <w:r>
              <w:rPr>
                <w:rFonts w:hint="eastAsia" w:ascii="新細明體" w:hAnsi="新細明體" w:eastAsia="新細明體" w:cs="新細明體"/>
              </w:rPr>
              <w:t>設有分</w:t>
            </w:r>
            <w:r>
              <w:rPr>
                <w:rFonts w:hint="eastAsia" w:ascii="新細明體" w:hAnsi="新細明體" w:eastAsia="新細明體" w:cs="新細明體"/>
                <w:b/>
                <w:color w:val="FF0000 "/>
              </w:rPr>
              <w:t>公司</w:t>
            </w:r>
            <w:r>
              <w:rPr>
                <w:rFonts w:hint="eastAsia" w:ascii="新細明體" w:hAnsi="新細明體" w:eastAsia="新細明體" w:cs="新細明體"/>
              </w:rPr>
              <w:t>之證券商，為防範舞弊情事發生，公司得於公司員工管理規則訂定分</w:t>
            </w:r>
            <w:r>
              <w:rPr>
                <w:rFonts w:hint="eastAsia" w:ascii="新細明體" w:hAnsi="新細明體" w:eastAsia="新細明體" w:cs="新細明體"/>
                <w:b/>
                <w:color w:val="FF0000 "/>
              </w:rPr>
              <w:t>公司</w:t>
            </w:r>
            <w:r>
              <w:rPr>
                <w:rFonts w:hint="eastAsia" w:ascii="新細明體" w:hAnsi="新細明體" w:eastAsia="新細明體" w:cs="新細明體"/>
              </w:rPr>
              <w:t>經理人輪調機制。</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4AABF765" w14:textId="77777777">
        <w:tc>
          <w:tcPr>
            <w:tcW w:w="1384" w:type="dxa"/>
            <w:vMerge/>
            <w:tcBorders>
              <w:left w:val="single" w:color="auto" w:sz="12" w:space="0"/>
              <w:bottom w:val="single" w:color="auto" w:sz="12" w:space="0"/>
            </w:tcBorders>
            <w:shd w:val="clear" w:color="auto" w:fill="auto"/>
          </w:tcPr>
          <w:p w:rsidR="003B3105" w:rsidP="001E533B" w:rsidRDefault="003B3105" w14:paraId="0967528F" w14:textId="77777777">
            <w:pPr>
              <w:rPr>
                <w:rFonts w:ascii="新細明體" w:hAnsi="新細明體" w:eastAsia="新細明體"/>
              </w:rPr>
            </w:pPr>
          </w:p>
        </w:tc>
        <w:tc>
          <w:tcPr>
            <w:tcW w:w="1276" w:type="dxa"/>
            <w:vMerge/>
            <w:tcBorders>
              <w:bottom w:val="single" w:color="auto" w:sz="12" w:space="0"/>
            </w:tcBorders>
            <w:shd w:val="clear" w:color="auto" w:fill="auto"/>
          </w:tcPr>
          <w:p w:rsidR="003B3105" w:rsidP="001E533B" w:rsidRDefault="003B3105" w14:paraId="5BD6DB17" w14:textId="77777777">
            <w:pPr>
              <w:rPr>
                <w:rFonts w:ascii="新細明體" w:hAnsi="新細明體" w:eastAsia="新細明體"/>
              </w:rPr>
            </w:pPr>
          </w:p>
        </w:tc>
        <w:tc>
          <w:tcPr>
            <w:tcW w:w="5386" w:type="dxa"/>
            <w:tcBorders>
              <w:top w:val="nil"/>
              <w:bottom w:val="single" w:color="auto" w:sz="12" w:space="0"/>
            </w:tcBorders>
            <w:shd w:val="clear" w:color="auto" w:fill="auto"/>
          </w:tcPr>
          <w:p w:rsidRPr="0068743F" w:rsidR="003B3105" w:rsidP="0027008E" w:rsidRDefault="0027008E" w14:paraId="5C9FE276" w14:textId="126A04A8">
            <w:pPr>
              <w:rPr>
                <w:rFonts w:ascii="新細明體" w:hAnsi="新細明體" w:eastAsia="新細明體" w:cs="新細明體"/>
              </w:rPr>
              <w:ind w:hangingChars="270"/>
            </w:pPr>
            <w:r>
              <w:rPr>
                <w:rFonts w:hint="eastAsia" w:ascii="新細明體" w:hAnsi="新細明體" w:eastAsia="新細明體" w:cs="新細明體"/>
              </w:rPr>
              <w:t>(二十七)</w:t>
            </w:r>
            <w:r>
              <w:rPr>
                <w:rFonts w:hint="eastAsia" w:ascii="新細明體" w:hAnsi="新細明體" w:eastAsia="新細明體" w:cs="新細明體"/>
              </w:rPr>
              <w:t>公司負責人之兼任行為，應符合證券商負責人與業務人員管理規則第十一條之一規定。公司應依據其投資管理需要、風險管理政策及證券商負責人與業務人員管理規則之規定，定期對負責人兼任職務之績效予以考核，考核結果作為繼續兼任及酌減兼任職務之重要參考。</w:t>
            </w:r>
          </w:p>
        </w:tc>
        <w:tc>
          <w:tcPr>
            <w:tcW w:w="5387" w:type="dxa"/>
            <w:tcBorders>
              <w:top w:val="nil"/>
              <w:bottom w:val="single" w:color="auto" w:sz="12" w:space="0"/>
            </w:tcBorders>
            <w:shd w:val="clear" w:color="auto" w:fill="auto"/>
          </w:tcPr>
          <w:p w:rsidRPr="00F6439B" w:rsidR="003B3105" w:rsidP="0027008E" w:rsidRDefault="0027008E" w14:paraId="7CBFB24A" w14:textId="08415A0E">
            <w:pPr>
              <w:spacing w:line="360" w:lineRule="exact"/>
              <w:rPr>
                <w:rFonts w:ascii="新細明體" w:hAnsi="新細明體" w:eastAsia="新細明體" w:cs="新細明體"/>
              </w:rPr>
              <w:ind w:hangingChars="270"/>
            </w:pPr>
            <w:r>
              <w:rPr>
                <w:rFonts w:hint="eastAsia" w:ascii="新細明體" w:hAnsi="新細明體" w:eastAsia="新細明體" w:cs="新細明體"/>
              </w:rPr>
              <w:t>(二十七)</w:t>
            </w:r>
            <w:r>
              <w:rPr>
                <w:rFonts w:hint="eastAsia" w:ascii="新細明體" w:hAnsi="新細明體" w:eastAsia="新細明體" w:cs="新細明體"/>
              </w:rPr>
              <w:t>公司負責人之兼任行為，應符合證券商負責人與業務人員管理規則第十一條之一規定。公司應依據其投資管理需要、風險管理政策及證券商負責人與業務人員管理規則之規定，定期對負責人兼任職務之績效予以考核，考核結果作為繼續兼任及酌減兼任職務之重要參考。</w:t>
            </w:r>
          </w:p>
        </w:tc>
        <w:tc>
          <w:tcPr>
            <w:tcW w:w="2023" w:type="dxa"/>
            <w:vMerge/>
            <w:tcBorders>
              <w:bottom w:val="single" w:color="auto" w:sz="12" w:space="0"/>
              <w:right w:val="single" w:color="auto" w:sz="12" w:space="0"/>
            </w:tcBorders>
            <w:shd w:val="clear" w:color="auto" w:fill="auto"/>
          </w:tcPr>
          <w:p w:rsidR="003B3105" w:rsidP="003B3105" w:rsidRDefault="003B3105" w14:paraId="6127B086" w14:textId="77777777">
            <w:pPr>
              <w:spacing w:line="360" w:lineRule="exact"/>
              <w:ind w:left="28" w:right="28"/>
              <w:rPr>
                <w:rFonts w:ascii="新細明體" w:hAnsi="新細明體" w:eastAsia="新細明體" w:cs="Times New Roman"/>
                <w:color w:val="FF0000"/>
                <w:spacing w:val="20"/>
                <w:szCs w:val="20"/>
                <w:u w:val="single"/>
              </w:rPr>
            </w:pPr>
          </w:p>
        </w:tc>
      </w:tr>
    </w:tbl>
    <w:p w:rsidRPr="00F6439B" w:rsidR="001E533B" w:rsidP="00A24FFC" w:rsidRDefault="001E533B" w14:paraId="423EBB0D" w14:textId="77777777">
      <w:pPr>
        <w:rPr>
          <w:rFonts w:ascii="新細明體" w:hAnsi="新細明體" w:eastAsia="新細明體"/>
        </w:rPr>
      </w:pPr>
    </w:p>
    <w:sectPr w:rsidRPr="00F6439B" w:rsidR="001E533B" w:rsidSect="00A24FFC">
      <w:pgSz w:w="16840" w:h="11907" w:orient="landscape" w:code="9"/>
      <w:pgMar w:top="720" w:right="720" w:bottom="720" w:left="720" w:header="851" w:footer="851" w:gutter="0"/>
      <w:cols w:space="425"/>
      <w:docGrid w:type="lines" w:linePitch="360"/>
    </w:sectPr>
    <w:p>
      <w:r>
        <w:br w:type="page"/>
      </w:r>
    </w:p>
    <w:altChunk r:id="altChunkId_0"/>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F74005" w14:textId="77777777" w:rsidR="003F2929" w:rsidRDefault="003F2929" w:rsidP="00E87601">
      <w:pPr>
        <w:spacing w:line="240" w:lineRule="auto"/>
      </w:pPr>
      <w:r>
        <w:separator/>
      </w:r>
    </w:p>
  </w:endnote>
  <w:endnote w:type="continuationSeparator" w:id="0">
    <w:p w14:paraId="17EE3F88" w14:textId="77777777" w:rsidR="003F2929" w:rsidRDefault="003F2929" w:rsidP="00E8760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2D569C" w14:textId="77777777" w:rsidR="003F2929" w:rsidRDefault="003F2929" w:rsidP="00E87601">
      <w:pPr>
        <w:spacing w:line="240" w:lineRule="auto"/>
      </w:pPr>
      <w:r>
        <w:separator/>
      </w:r>
    </w:p>
  </w:footnote>
  <w:footnote w:type="continuationSeparator" w:id="0">
    <w:p w14:paraId="13DC15AB" w14:textId="77777777" w:rsidR="003F2929" w:rsidRDefault="003F2929" w:rsidP="00E87601">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4A718B"/>
    <w:multiLevelType w:val="multilevel"/>
    <w:tmpl w:val="508CA08A"/>
    <w:lvl w:ilvl="0">
      <w:start w:val="1"/>
      <w:numFmt w:val="taiwaneseCountingThousand"/>
      <w:lvlText w:val="（%1）"/>
      <w:lvlJc w:val="left"/>
      <w:pPr>
        <w:tabs>
          <w:tab w:val="num" w:pos="2672"/>
        </w:tabs>
        <w:ind w:left="2672" w:hanging="840"/>
      </w:pPr>
      <w:rPr>
        <w:rFonts w:cs="Times New Roman" w:hint="eastAsia"/>
      </w:rPr>
    </w:lvl>
    <w:lvl w:ilvl="1">
      <w:start w:val="1"/>
      <w:numFmt w:val="ideographTraditional"/>
      <w:lvlText w:val="%2、"/>
      <w:lvlJc w:val="left"/>
      <w:pPr>
        <w:tabs>
          <w:tab w:val="num" w:pos="2792"/>
        </w:tabs>
        <w:ind w:left="2792" w:hanging="480"/>
      </w:pPr>
      <w:rPr>
        <w:rFonts w:cs="Times New Roman"/>
      </w:rPr>
    </w:lvl>
    <w:lvl w:ilvl="2">
      <w:start w:val="1"/>
      <w:numFmt w:val="lowerRoman"/>
      <w:lvlText w:val="%3."/>
      <w:lvlJc w:val="right"/>
      <w:pPr>
        <w:tabs>
          <w:tab w:val="num" w:pos="3272"/>
        </w:tabs>
        <w:ind w:left="3272" w:hanging="480"/>
      </w:pPr>
      <w:rPr>
        <w:rFonts w:cs="Times New Roman"/>
      </w:rPr>
    </w:lvl>
    <w:lvl w:ilvl="3">
      <w:start w:val="1"/>
      <w:numFmt w:val="decimal"/>
      <w:lvlText w:val="%4."/>
      <w:lvlJc w:val="left"/>
      <w:pPr>
        <w:tabs>
          <w:tab w:val="num" w:pos="3752"/>
        </w:tabs>
        <w:ind w:left="3752" w:hanging="480"/>
      </w:pPr>
      <w:rPr>
        <w:rFonts w:cs="Times New Roman"/>
      </w:rPr>
    </w:lvl>
    <w:lvl w:ilvl="4">
      <w:start w:val="1"/>
      <w:numFmt w:val="ideographTraditional"/>
      <w:lvlText w:val="%5、"/>
      <w:lvlJc w:val="left"/>
      <w:pPr>
        <w:tabs>
          <w:tab w:val="num" w:pos="4232"/>
        </w:tabs>
        <w:ind w:left="4232" w:hanging="480"/>
      </w:pPr>
      <w:rPr>
        <w:rFonts w:cs="Times New Roman"/>
      </w:rPr>
    </w:lvl>
    <w:lvl w:ilvl="5">
      <w:start w:val="1"/>
      <w:numFmt w:val="lowerRoman"/>
      <w:lvlText w:val="%6."/>
      <w:lvlJc w:val="right"/>
      <w:pPr>
        <w:tabs>
          <w:tab w:val="num" w:pos="4712"/>
        </w:tabs>
        <w:ind w:left="4712" w:hanging="480"/>
      </w:pPr>
      <w:rPr>
        <w:rFonts w:cs="Times New Roman"/>
      </w:rPr>
    </w:lvl>
    <w:lvl w:ilvl="6">
      <w:start w:val="1"/>
      <w:numFmt w:val="decimal"/>
      <w:lvlText w:val="%7."/>
      <w:lvlJc w:val="left"/>
      <w:pPr>
        <w:tabs>
          <w:tab w:val="num" w:pos="5192"/>
        </w:tabs>
        <w:ind w:left="5192" w:hanging="480"/>
      </w:pPr>
      <w:rPr>
        <w:rFonts w:cs="Times New Roman"/>
      </w:rPr>
    </w:lvl>
    <w:lvl w:ilvl="7">
      <w:start w:val="1"/>
      <w:numFmt w:val="ideographTraditional"/>
      <w:lvlText w:val="%8、"/>
      <w:lvlJc w:val="left"/>
      <w:pPr>
        <w:tabs>
          <w:tab w:val="num" w:pos="5672"/>
        </w:tabs>
        <w:ind w:left="5672" w:hanging="480"/>
      </w:pPr>
      <w:rPr>
        <w:rFonts w:cs="Times New Roman"/>
      </w:rPr>
    </w:lvl>
    <w:lvl w:ilvl="8">
      <w:start w:val="1"/>
      <w:numFmt w:val="lowerRoman"/>
      <w:lvlText w:val="%9."/>
      <w:lvlJc w:val="right"/>
      <w:pPr>
        <w:tabs>
          <w:tab w:val="num" w:pos="6152"/>
        </w:tabs>
        <w:ind w:left="6152" w:hanging="480"/>
      </w:pPr>
      <w:rPr>
        <w:rFonts w:cs="Times New Roman"/>
      </w:rPr>
    </w:lvl>
  </w:abstractNum>
  <w:abstractNum w:abstractNumId="1" w15:restartNumberingAfterBreak="0">
    <w:nsid w:val="10DB4ADC"/>
    <w:multiLevelType w:val="singleLevel"/>
    <w:tmpl w:val="17EC2A1C"/>
    <w:lvl w:ilvl="0">
      <w:start w:val="1"/>
      <w:numFmt w:val="taiwaneseCountingThousand"/>
      <w:lvlText w:val="（%1）"/>
      <w:lvlJc w:val="left"/>
      <w:pPr>
        <w:tabs>
          <w:tab w:val="num" w:pos="904"/>
        </w:tabs>
        <w:ind w:left="904" w:hanging="876"/>
      </w:pPr>
      <w:rPr>
        <w:rFonts w:cs="Times New Roman" w:hint="eastAsia"/>
      </w:rPr>
    </w:lvl>
  </w:abstractNum>
  <w:abstractNum w:abstractNumId="2" w15:restartNumberingAfterBreak="0">
    <w:nsid w:val="122D758D"/>
    <w:multiLevelType w:val="singleLevel"/>
    <w:tmpl w:val="D83E8314"/>
    <w:lvl w:ilvl="0">
      <w:start w:val="1"/>
      <w:numFmt w:val="decimal"/>
      <w:lvlText w:val="%1."/>
      <w:lvlJc w:val="left"/>
      <w:pPr>
        <w:tabs>
          <w:tab w:val="num" w:pos="1007"/>
        </w:tabs>
        <w:ind w:left="1007" w:hanging="195"/>
      </w:pPr>
      <w:rPr>
        <w:rFonts w:ascii="新細明體" w:eastAsia="新細明體" w:cs="Times New Roman" w:hint="eastAsia"/>
        <w:color w:val="FF0000"/>
        <w:u w:val="single"/>
      </w:rPr>
    </w:lvl>
  </w:abstractNum>
  <w:abstractNum w:abstractNumId="3" w15:restartNumberingAfterBreak="0">
    <w:nsid w:val="136E18A7"/>
    <w:multiLevelType w:val="singleLevel"/>
    <w:tmpl w:val="F2BEE7CE"/>
    <w:lvl w:ilvl="0">
      <w:start w:val="1"/>
      <w:numFmt w:val="decimal"/>
      <w:lvlText w:val="%1."/>
      <w:lvlJc w:val="left"/>
      <w:pPr>
        <w:tabs>
          <w:tab w:val="num" w:pos="747"/>
        </w:tabs>
        <w:ind w:left="747" w:hanging="195"/>
      </w:pPr>
      <w:rPr>
        <w:rFonts w:cs="Times New Roman" w:hint="eastAsia"/>
      </w:rPr>
    </w:lvl>
  </w:abstractNum>
  <w:abstractNum w:abstractNumId="4" w15:restartNumberingAfterBreak="0">
    <w:nsid w:val="16975A5D"/>
    <w:multiLevelType w:val="singleLevel"/>
    <w:tmpl w:val="F5D6A108"/>
    <w:lvl w:ilvl="0">
      <w:start w:val="1"/>
      <w:numFmt w:val="taiwaneseCountingThousand"/>
      <w:lvlText w:val="（%1）"/>
      <w:lvlJc w:val="left"/>
      <w:pPr>
        <w:tabs>
          <w:tab w:val="num" w:pos="808"/>
        </w:tabs>
        <w:ind w:left="808" w:hanging="780"/>
      </w:pPr>
      <w:rPr>
        <w:rFonts w:cs="Times New Roman" w:hint="eastAsia"/>
      </w:rPr>
    </w:lvl>
  </w:abstractNum>
  <w:abstractNum w:abstractNumId="5" w15:restartNumberingAfterBreak="0">
    <w:nsid w:val="22B5442D"/>
    <w:multiLevelType w:val="singleLevel"/>
    <w:tmpl w:val="89702BA4"/>
    <w:lvl w:ilvl="0">
      <w:start w:val="1"/>
      <w:numFmt w:val="decimal"/>
      <w:lvlText w:val="%1."/>
      <w:lvlJc w:val="left"/>
      <w:pPr>
        <w:tabs>
          <w:tab w:val="num" w:pos="1084"/>
        </w:tabs>
        <w:ind w:left="1084" w:hanging="384"/>
      </w:pPr>
      <w:rPr>
        <w:rFonts w:ascii="新細明體" w:eastAsia="新細明體" w:cs="Times New Roman" w:hint="eastAsia"/>
      </w:rPr>
    </w:lvl>
  </w:abstractNum>
  <w:abstractNum w:abstractNumId="6" w15:restartNumberingAfterBreak="0">
    <w:nsid w:val="32EA67CF"/>
    <w:multiLevelType w:val="singleLevel"/>
    <w:tmpl w:val="60E831F0"/>
    <w:lvl w:ilvl="0">
      <w:start w:val="1"/>
      <w:numFmt w:val="decimal"/>
      <w:lvlText w:val="(%1)"/>
      <w:lvlJc w:val="left"/>
      <w:pPr>
        <w:tabs>
          <w:tab w:val="num" w:pos="1372"/>
        </w:tabs>
        <w:ind w:left="1372" w:hanging="504"/>
      </w:pPr>
      <w:rPr>
        <w:rFonts w:eastAsia="新細明體" w:cs="Times New Roman" w:hint="eastAsia"/>
        <w:color w:val="auto"/>
      </w:rPr>
    </w:lvl>
  </w:abstractNum>
  <w:abstractNum w:abstractNumId="7" w15:restartNumberingAfterBreak="0">
    <w:nsid w:val="3A41225B"/>
    <w:multiLevelType w:val="singleLevel"/>
    <w:tmpl w:val="5A4EFA4E"/>
    <w:lvl w:ilvl="0">
      <w:start w:val="1"/>
      <w:numFmt w:val="decimal"/>
      <w:lvlText w:val="%1."/>
      <w:lvlJc w:val="left"/>
      <w:pPr>
        <w:tabs>
          <w:tab w:val="num" w:pos="1108"/>
        </w:tabs>
        <w:ind w:left="1108" w:hanging="405"/>
      </w:pPr>
      <w:rPr>
        <w:rFonts w:cs="Times New Roman" w:hint="eastAsia"/>
      </w:rPr>
    </w:lvl>
  </w:abstractNum>
  <w:abstractNum w:abstractNumId="8" w15:restartNumberingAfterBreak="0">
    <w:nsid w:val="41CC78C5"/>
    <w:multiLevelType w:val="multilevel"/>
    <w:tmpl w:val="2E3AB764"/>
    <w:lvl w:ilvl="0">
      <w:start w:val="1"/>
      <w:numFmt w:val="taiwaneseCountingThousand"/>
      <w:suff w:val="space"/>
      <w:lvlText w:val="%1、"/>
      <w:lvlJc w:val="left"/>
      <w:pPr>
        <w:ind w:left="567" w:hanging="567"/>
      </w:pPr>
      <w:rPr>
        <w:rFonts w:cs="Times New Roman" w:hint="eastAsia"/>
      </w:rPr>
    </w:lvl>
    <w:lvl w:ilvl="1">
      <w:start w:val="1"/>
      <w:numFmt w:val="taiwaneseCountingThousand"/>
      <w:suff w:val="space"/>
      <w:lvlText w:val="(%2)"/>
      <w:lvlJc w:val="left"/>
      <w:pPr>
        <w:ind w:left="1123" w:hanging="556"/>
      </w:pPr>
      <w:rPr>
        <w:rFonts w:cs="Times New Roman" w:hint="eastAsia"/>
      </w:rPr>
    </w:lvl>
    <w:lvl w:ilvl="2">
      <w:start w:val="1"/>
      <w:numFmt w:val="decimal"/>
      <w:lvlText w:val="%3."/>
      <w:lvlJc w:val="left"/>
      <w:pPr>
        <w:tabs>
          <w:tab w:val="num" w:pos="1588"/>
        </w:tabs>
        <w:ind w:left="1588" w:hanging="454"/>
      </w:pPr>
      <w:rPr>
        <w:rFonts w:cs="Times New Roman" w:hint="eastAsia"/>
      </w:rPr>
    </w:lvl>
    <w:lvl w:ilvl="3">
      <w:start w:val="1"/>
      <w:numFmt w:val="decimal"/>
      <w:lvlText w:val="(%4) "/>
      <w:lvlJc w:val="left"/>
      <w:pPr>
        <w:tabs>
          <w:tab w:val="num" w:pos="2126"/>
        </w:tabs>
        <w:ind w:left="2126" w:hanging="595"/>
      </w:pPr>
      <w:rPr>
        <w:rFonts w:cs="Times New Roman" w:hint="eastAsia"/>
      </w:rPr>
    </w:lvl>
    <w:lvl w:ilvl="4">
      <w:start w:val="1"/>
      <w:numFmt w:val="upperLetter"/>
      <w:suff w:val="space"/>
      <w:lvlText w:val="%5."/>
      <w:lvlJc w:val="left"/>
      <w:pPr>
        <w:ind w:left="2041" w:firstLine="170"/>
      </w:pPr>
      <w:rPr>
        <w:rFonts w:cs="Times New Roman" w:hint="eastAsia"/>
      </w:rPr>
    </w:lvl>
    <w:lvl w:ilvl="5">
      <w:start w:val="1"/>
      <w:numFmt w:val="lowerLetter"/>
      <w:suff w:val="space"/>
      <w:lvlText w:val="%6."/>
      <w:lvlJc w:val="left"/>
      <w:pPr>
        <w:ind w:left="2892" w:hanging="284"/>
      </w:pPr>
      <w:rPr>
        <w:rFonts w:cs="Times New Roman" w:hint="eastAsia"/>
      </w:rPr>
    </w:lvl>
    <w:lvl w:ilvl="6">
      <w:start w:val="1"/>
      <w:numFmt w:val="decimal"/>
      <w:lvlText w:val="(%7)"/>
      <w:lvlJc w:val="left"/>
      <w:pPr>
        <w:tabs>
          <w:tab w:val="num" w:pos="3827"/>
        </w:tabs>
        <w:ind w:left="3827" w:hanging="1276"/>
      </w:pPr>
      <w:rPr>
        <w:rFonts w:cs="Times New Roman" w:hint="eastAsia"/>
      </w:rPr>
    </w:lvl>
    <w:lvl w:ilvl="7">
      <w:start w:val="1"/>
      <w:numFmt w:val="lowerLetter"/>
      <w:lvlText w:val="%8."/>
      <w:lvlJc w:val="left"/>
      <w:pPr>
        <w:tabs>
          <w:tab w:val="num" w:pos="4394"/>
        </w:tabs>
        <w:ind w:left="4394" w:hanging="1418"/>
      </w:pPr>
      <w:rPr>
        <w:rFonts w:cs="Times New Roman" w:hint="eastAsia"/>
      </w:rPr>
    </w:lvl>
    <w:lvl w:ilvl="8">
      <w:start w:val="1"/>
      <w:numFmt w:val="lowerLetter"/>
      <w:lvlText w:val="%9)"/>
      <w:lvlJc w:val="left"/>
      <w:pPr>
        <w:tabs>
          <w:tab w:val="num" w:pos="5102"/>
        </w:tabs>
        <w:ind w:left="5102" w:hanging="1700"/>
      </w:pPr>
      <w:rPr>
        <w:rFonts w:cs="Times New Roman" w:hint="eastAsia"/>
      </w:rPr>
    </w:lvl>
  </w:abstractNum>
  <w:abstractNum w:abstractNumId="9" w15:restartNumberingAfterBreak="0">
    <w:nsid w:val="52D33297"/>
    <w:multiLevelType w:val="singleLevel"/>
    <w:tmpl w:val="FAEE3386"/>
    <w:lvl w:ilvl="0">
      <w:start w:val="1"/>
      <w:numFmt w:val="decimal"/>
      <w:lvlText w:val="%1."/>
      <w:lvlJc w:val="left"/>
      <w:pPr>
        <w:tabs>
          <w:tab w:val="num" w:pos="877"/>
        </w:tabs>
        <w:ind w:left="877" w:hanging="195"/>
      </w:pPr>
      <w:rPr>
        <w:rFonts w:cs="Times New Roman" w:hint="eastAsia"/>
      </w:rPr>
    </w:lvl>
  </w:abstractNum>
  <w:abstractNum w:abstractNumId="10" w15:restartNumberingAfterBreak="0">
    <w:nsid w:val="5F307CEC"/>
    <w:multiLevelType w:val="singleLevel"/>
    <w:tmpl w:val="F5D6A108"/>
    <w:lvl w:ilvl="0">
      <w:start w:val="1"/>
      <w:numFmt w:val="taiwaneseCountingThousand"/>
      <w:lvlText w:val="（%1）"/>
      <w:lvlJc w:val="left"/>
      <w:pPr>
        <w:tabs>
          <w:tab w:val="num" w:pos="808"/>
        </w:tabs>
        <w:ind w:left="808" w:hanging="780"/>
      </w:pPr>
      <w:rPr>
        <w:rFonts w:cs="Times New Roman" w:hint="eastAsia"/>
      </w:rPr>
    </w:lvl>
  </w:abstractNum>
  <w:abstractNum w:abstractNumId="11" w15:restartNumberingAfterBreak="0">
    <w:nsid w:val="649E48F8"/>
    <w:multiLevelType w:val="multilevel"/>
    <w:tmpl w:val="64882E9C"/>
    <w:lvl w:ilvl="0">
      <w:start w:val="1"/>
      <w:numFmt w:val="taiwaneseCountingThousand"/>
      <w:suff w:val="nothing"/>
      <w:lvlText w:val="%1、"/>
      <w:lvlJc w:val="left"/>
      <w:pPr>
        <w:ind w:left="425" w:hanging="425"/>
      </w:pPr>
      <w:rPr>
        <w:rFonts w:cs="Times New Roman" w:hint="eastAsia"/>
      </w:rPr>
    </w:lvl>
    <w:lvl w:ilvl="1">
      <w:start w:val="1"/>
      <w:numFmt w:val="taiwaneseCountingThousand"/>
      <w:suff w:val="nothing"/>
      <w:lvlText w:val="(%2)"/>
      <w:lvlJc w:val="left"/>
      <w:pPr>
        <w:ind w:left="737" w:hanging="453"/>
      </w:pPr>
      <w:rPr>
        <w:rFonts w:cs="Times New Roman" w:hint="eastAsia"/>
      </w:rPr>
    </w:lvl>
    <w:lvl w:ilvl="2">
      <w:start w:val="1"/>
      <w:numFmt w:val="taiwaneseCountingThousand"/>
      <w:suff w:val="nothing"/>
      <w:lvlText w:val="第%3項"/>
      <w:lvlJc w:val="left"/>
      <w:pPr>
        <w:ind w:left="1418" w:hanging="567"/>
      </w:pPr>
      <w:rPr>
        <w:rFonts w:cs="Times New Roman" w:hint="eastAsia"/>
      </w:rPr>
    </w:lvl>
    <w:lvl w:ilvl="3">
      <w:start w:val="1"/>
      <w:numFmt w:val="none"/>
      <w:suff w:val="nothing"/>
      <w:lvlText w:val=""/>
      <w:lvlJc w:val="left"/>
      <w:pPr>
        <w:ind w:left="1984" w:hanging="708"/>
      </w:pPr>
      <w:rPr>
        <w:rFonts w:cs="Times New Roman" w:hint="eastAsia"/>
      </w:rPr>
    </w:lvl>
    <w:lvl w:ilvl="4">
      <w:start w:val="1"/>
      <w:numFmt w:val="none"/>
      <w:suff w:val="nothing"/>
      <w:lvlText w:val=""/>
      <w:lvlJc w:val="left"/>
      <w:pPr>
        <w:ind w:left="2551" w:hanging="850"/>
      </w:pPr>
      <w:rPr>
        <w:rFonts w:cs="Times New Roman" w:hint="eastAsia"/>
      </w:rPr>
    </w:lvl>
    <w:lvl w:ilvl="5">
      <w:start w:val="1"/>
      <w:numFmt w:val="none"/>
      <w:suff w:val="nothing"/>
      <w:lvlText w:val=""/>
      <w:lvlJc w:val="left"/>
      <w:pPr>
        <w:ind w:left="3260" w:hanging="1134"/>
      </w:pPr>
      <w:rPr>
        <w:rFonts w:cs="Times New Roman" w:hint="eastAsia"/>
      </w:rPr>
    </w:lvl>
    <w:lvl w:ilvl="6">
      <w:start w:val="1"/>
      <w:numFmt w:val="none"/>
      <w:suff w:val="nothing"/>
      <w:lvlText w:val=""/>
      <w:lvlJc w:val="left"/>
      <w:pPr>
        <w:ind w:left="3827" w:hanging="1276"/>
      </w:pPr>
      <w:rPr>
        <w:rFonts w:cs="Times New Roman" w:hint="eastAsia"/>
      </w:rPr>
    </w:lvl>
    <w:lvl w:ilvl="7">
      <w:start w:val="1"/>
      <w:numFmt w:val="none"/>
      <w:suff w:val="nothing"/>
      <w:lvlText w:val=""/>
      <w:lvlJc w:val="left"/>
      <w:pPr>
        <w:ind w:left="4394" w:hanging="1418"/>
      </w:pPr>
      <w:rPr>
        <w:rFonts w:cs="Times New Roman" w:hint="eastAsia"/>
      </w:rPr>
    </w:lvl>
    <w:lvl w:ilvl="8">
      <w:start w:val="1"/>
      <w:numFmt w:val="none"/>
      <w:suff w:val="nothing"/>
      <w:lvlText w:val=""/>
      <w:lvlJc w:val="left"/>
      <w:pPr>
        <w:ind w:left="5102" w:hanging="1700"/>
      </w:pPr>
      <w:rPr>
        <w:rFonts w:cs="Times New Roman" w:hint="eastAsia"/>
      </w:rPr>
    </w:lvl>
  </w:abstractNum>
  <w:abstractNum w:abstractNumId="12" w15:restartNumberingAfterBreak="0">
    <w:nsid w:val="661C7F9F"/>
    <w:multiLevelType w:val="singleLevel"/>
    <w:tmpl w:val="9A8A353E"/>
    <w:lvl w:ilvl="0">
      <w:start w:val="1"/>
      <w:numFmt w:val="taiwaneseCountingThousand"/>
      <w:lvlText w:val="（%1）"/>
      <w:lvlJc w:val="left"/>
      <w:pPr>
        <w:tabs>
          <w:tab w:val="num" w:pos="880"/>
        </w:tabs>
        <w:ind w:left="880" w:hanging="852"/>
      </w:pPr>
      <w:rPr>
        <w:rFonts w:cs="Times New Roman" w:hint="eastAsia"/>
      </w:rPr>
    </w:lvl>
  </w:abstractNum>
  <w:abstractNum w:abstractNumId="13" w15:restartNumberingAfterBreak="0">
    <w:nsid w:val="697D3FA8"/>
    <w:multiLevelType w:val="multilevel"/>
    <w:tmpl w:val="2E3AB764"/>
    <w:lvl w:ilvl="0">
      <w:start w:val="1"/>
      <w:numFmt w:val="taiwaneseCountingThousand"/>
      <w:suff w:val="space"/>
      <w:lvlText w:val="%1、"/>
      <w:lvlJc w:val="left"/>
      <w:pPr>
        <w:ind w:left="567" w:hanging="567"/>
      </w:pPr>
      <w:rPr>
        <w:rFonts w:cs="Times New Roman" w:hint="eastAsia"/>
      </w:rPr>
    </w:lvl>
    <w:lvl w:ilvl="1">
      <w:start w:val="1"/>
      <w:numFmt w:val="taiwaneseCountingThousand"/>
      <w:suff w:val="space"/>
      <w:lvlText w:val="(%2)"/>
      <w:lvlJc w:val="left"/>
      <w:pPr>
        <w:ind w:left="1123" w:hanging="556"/>
      </w:pPr>
      <w:rPr>
        <w:rFonts w:cs="Times New Roman" w:hint="eastAsia"/>
      </w:rPr>
    </w:lvl>
    <w:lvl w:ilvl="2">
      <w:start w:val="1"/>
      <w:numFmt w:val="decimal"/>
      <w:lvlText w:val="%3."/>
      <w:lvlJc w:val="left"/>
      <w:pPr>
        <w:tabs>
          <w:tab w:val="num" w:pos="1588"/>
        </w:tabs>
        <w:ind w:left="1588" w:hanging="454"/>
      </w:pPr>
      <w:rPr>
        <w:rFonts w:cs="Times New Roman" w:hint="eastAsia"/>
      </w:rPr>
    </w:lvl>
    <w:lvl w:ilvl="3">
      <w:start w:val="1"/>
      <w:numFmt w:val="decimal"/>
      <w:lvlText w:val="(%4) "/>
      <w:lvlJc w:val="left"/>
      <w:pPr>
        <w:tabs>
          <w:tab w:val="num" w:pos="2126"/>
        </w:tabs>
        <w:ind w:left="2126" w:hanging="595"/>
      </w:pPr>
      <w:rPr>
        <w:rFonts w:cs="Times New Roman" w:hint="eastAsia"/>
      </w:rPr>
    </w:lvl>
    <w:lvl w:ilvl="4">
      <w:start w:val="1"/>
      <w:numFmt w:val="upperLetter"/>
      <w:suff w:val="space"/>
      <w:lvlText w:val="%5."/>
      <w:lvlJc w:val="left"/>
      <w:pPr>
        <w:ind w:left="2041" w:firstLine="170"/>
      </w:pPr>
      <w:rPr>
        <w:rFonts w:cs="Times New Roman" w:hint="eastAsia"/>
      </w:rPr>
    </w:lvl>
    <w:lvl w:ilvl="5">
      <w:start w:val="1"/>
      <w:numFmt w:val="lowerLetter"/>
      <w:suff w:val="space"/>
      <w:lvlText w:val="%6."/>
      <w:lvlJc w:val="left"/>
      <w:pPr>
        <w:ind w:left="2892" w:hanging="284"/>
      </w:pPr>
      <w:rPr>
        <w:rFonts w:cs="Times New Roman" w:hint="eastAsia"/>
      </w:rPr>
    </w:lvl>
    <w:lvl w:ilvl="6">
      <w:start w:val="1"/>
      <w:numFmt w:val="decimal"/>
      <w:lvlText w:val="(%7)"/>
      <w:lvlJc w:val="left"/>
      <w:pPr>
        <w:tabs>
          <w:tab w:val="num" w:pos="3827"/>
        </w:tabs>
        <w:ind w:left="3827" w:hanging="1276"/>
      </w:pPr>
      <w:rPr>
        <w:rFonts w:cs="Times New Roman" w:hint="eastAsia"/>
      </w:rPr>
    </w:lvl>
    <w:lvl w:ilvl="7">
      <w:start w:val="1"/>
      <w:numFmt w:val="lowerLetter"/>
      <w:lvlText w:val="%8."/>
      <w:lvlJc w:val="left"/>
      <w:pPr>
        <w:tabs>
          <w:tab w:val="num" w:pos="4394"/>
        </w:tabs>
        <w:ind w:left="4394" w:hanging="1418"/>
      </w:pPr>
      <w:rPr>
        <w:rFonts w:cs="Times New Roman" w:hint="eastAsia"/>
      </w:rPr>
    </w:lvl>
    <w:lvl w:ilvl="8">
      <w:start w:val="1"/>
      <w:numFmt w:val="lowerLetter"/>
      <w:lvlText w:val="%9)"/>
      <w:lvlJc w:val="left"/>
      <w:pPr>
        <w:tabs>
          <w:tab w:val="num" w:pos="5102"/>
        </w:tabs>
        <w:ind w:left="5102" w:hanging="1700"/>
      </w:pPr>
      <w:rPr>
        <w:rFonts w:cs="Times New Roman" w:hint="eastAsia"/>
      </w:rPr>
    </w:lvl>
  </w:abstractNum>
  <w:abstractNum w:abstractNumId="14" w15:restartNumberingAfterBreak="0">
    <w:nsid w:val="6A1E3F23"/>
    <w:multiLevelType w:val="singleLevel"/>
    <w:tmpl w:val="D64468C4"/>
    <w:lvl w:ilvl="0">
      <w:start w:val="1"/>
      <w:numFmt w:val="decimal"/>
      <w:lvlText w:val="(%1)"/>
      <w:lvlJc w:val="left"/>
      <w:pPr>
        <w:tabs>
          <w:tab w:val="num" w:pos="1372"/>
        </w:tabs>
        <w:ind w:left="1372" w:hanging="504"/>
      </w:pPr>
      <w:rPr>
        <w:rFonts w:eastAsia="新細明體" w:cs="Times New Roman" w:hint="eastAsia"/>
        <w:color w:val="auto"/>
      </w:rPr>
    </w:lvl>
  </w:abstractNum>
  <w:abstractNum w:abstractNumId="15" w15:restartNumberingAfterBreak="0">
    <w:nsid w:val="6D1B63E2"/>
    <w:multiLevelType w:val="multilevel"/>
    <w:tmpl w:val="288627EA"/>
    <w:lvl w:ilvl="0">
      <w:start w:val="1"/>
      <w:numFmt w:val="taiwaneseCountingThousand"/>
      <w:lvlText w:val="(%1)"/>
      <w:lvlJc w:val="left"/>
      <w:pPr>
        <w:tabs>
          <w:tab w:val="num" w:pos="920"/>
        </w:tabs>
        <w:ind w:left="920" w:hanging="444"/>
      </w:pPr>
      <w:rPr>
        <w:rFonts w:cs="Times New Roman" w:hint="eastAsia"/>
      </w:rPr>
    </w:lvl>
    <w:lvl w:ilvl="1">
      <w:start w:val="1"/>
      <w:numFmt w:val="ideographTraditional"/>
      <w:lvlText w:val="%2、"/>
      <w:lvlJc w:val="left"/>
      <w:pPr>
        <w:tabs>
          <w:tab w:val="num" w:pos="960"/>
        </w:tabs>
        <w:ind w:left="960" w:hanging="480"/>
      </w:pPr>
      <w:rPr>
        <w:rFonts w:cs="Times New Roman"/>
      </w:rPr>
    </w:lvl>
    <w:lvl w:ilvl="2">
      <w:start w:val="1"/>
      <w:numFmt w:val="lowerRoman"/>
      <w:lvlText w:val="%3."/>
      <w:lvlJc w:val="right"/>
      <w:pPr>
        <w:tabs>
          <w:tab w:val="num" w:pos="1440"/>
        </w:tabs>
        <w:ind w:left="1440" w:hanging="480"/>
      </w:pPr>
      <w:rPr>
        <w:rFonts w:cs="Times New Roman"/>
      </w:rPr>
    </w:lvl>
    <w:lvl w:ilvl="3">
      <w:start w:val="1"/>
      <w:numFmt w:val="decimal"/>
      <w:lvlText w:val="%4."/>
      <w:lvlJc w:val="left"/>
      <w:pPr>
        <w:tabs>
          <w:tab w:val="num" w:pos="1920"/>
        </w:tabs>
        <w:ind w:left="1920" w:hanging="480"/>
      </w:pPr>
      <w:rPr>
        <w:rFonts w:cs="Times New Roman"/>
      </w:rPr>
    </w:lvl>
    <w:lvl w:ilvl="4">
      <w:start w:val="1"/>
      <w:numFmt w:val="ideographTraditional"/>
      <w:lvlText w:val="%5、"/>
      <w:lvlJc w:val="left"/>
      <w:pPr>
        <w:tabs>
          <w:tab w:val="num" w:pos="2400"/>
        </w:tabs>
        <w:ind w:left="2400" w:hanging="480"/>
      </w:pPr>
      <w:rPr>
        <w:rFonts w:cs="Times New Roman"/>
      </w:rPr>
    </w:lvl>
    <w:lvl w:ilvl="5">
      <w:start w:val="1"/>
      <w:numFmt w:val="lowerRoman"/>
      <w:lvlText w:val="%6."/>
      <w:lvlJc w:val="right"/>
      <w:pPr>
        <w:tabs>
          <w:tab w:val="num" w:pos="2880"/>
        </w:tabs>
        <w:ind w:left="2880" w:hanging="480"/>
      </w:pPr>
      <w:rPr>
        <w:rFonts w:cs="Times New Roman"/>
      </w:rPr>
    </w:lvl>
    <w:lvl w:ilvl="6">
      <w:start w:val="1"/>
      <w:numFmt w:val="decimal"/>
      <w:lvlText w:val="%7."/>
      <w:lvlJc w:val="left"/>
      <w:pPr>
        <w:tabs>
          <w:tab w:val="num" w:pos="3360"/>
        </w:tabs>
        <w:ind w:left="3360" w:hanging="480"/>
      </w:pPr>
      <w:rPr>
        <w:rFonts w:cs="Times New Roman"/>
      </w:rPr>
    </w:lvl>
    <w:lvl w:ilvl="7">
      <w:start w:val="1"/>
      <w:numFmt w:val="ideographTraditional"/>
      <w:lvlText w:val="%8、"/>
      <w:lvlJc w:val="left"/>
      <w:pPr>
        <w:tabs>
          <w:tab w:val="num" w:pos="3840"/>
        </w:tabs>
        <w:ind w:left="3840" w:hanging="480"/>
      </w:pPr>
      <w:rPr>
        <w:rFonts w:cs="Times New Roman"/>
      </w:rPr>
    </w:lvl>
    <w:lvl w:ilvl="8">
      <w:start w:val="1"/>
      <w:numFmt w:val="lowerRoman"/>
      <w:lvlText w:val="%9."/>
      <w:lvlJc w:val="right"/>
      <w:pPr>
        <w:tabs>
          <w:tab w:val="num" w:pos="4320"/>
        </w:tabs>
        <w:ind w:left="4320" w:hanging="480"/>
      </w:pPr>
      <w:rPr>
        <w:rFonts w:cs="Times New Roman"/>
      </w:rPr>
    </w:lvl>
  </w:abstractNum>
  <w:abstractNum w:abstractNumId="16" w15:restartNumberingAfterBreak="0">
    <w:nsid w:val="6E487ECB"/>
    <w:multiLevelType w:val="singleLevel"/>
    <w:tmpl w:val="F230B57A"/>
    <w:lvl w:ilvl="0">
      <w:start w:val="1"/>
      <w:numFmt w:val="taiwaneseCountingThousand"/>
      <w:lvlText w:val="（%1）"/>
      <w:lvlJc w:val="left"/>
      <w:pPr>
        <w:tabs>
          <w:tab w:val="num" w:pos="796"/>
        </w:tabs>
        <w:ind w:left="796" w:hanging="768"/>
      </w:pPr>
      <w:rPr>
        <w:rFonts w:cs="Times New Roman" w:hint="eastAsia"/>
        <w:color w:val="auto"/>
      </w:rPr>
    </w:lvl>
  </w:abstractNum>
  <w:abstractNum w:abstractNumId="17" w15:restartNumberingAfterBreak="0">
    <w:nsid w:val="72822C94"/>
    <w:multiLevelType w:val="singleLevel"/>
    <w:tmpl w:val="BAB2CAD2"/>
    <w:lvl w:ilvl="0">
      <w:start w:val="1"/>
      <w:numFmt w:val="taiwaneseCountingThousand"/>
      <w:lvlText w:val="%1、"/>
      <w:lvlJc w:val="left"/>
      <w:pPr>
        <w:tabs>
          <w:tab w:val="num" w:pos="604"/>
        </w:tabs>
        <w:ind w:left="604" w:hanging="576"/>
      </w:pPr>
      <w:rPr>
        <w:rFonts w:cs="Times New Roman" w:hint="eastAsia"/>
      </w:rPr>
    </w:lvl>
  </w:abstractNum>
  <w:abstractNum w:abstractNumId="18" w15:restartNumberingAfterBreak="0">
    <w:nsid w:val="760272F7"/>
    <w:multiLevelType w:val="singleLevel"/>
    <w:tmpl w:val="7EA040BA"/>
    <w:lvl w:ilvl="0">
      <w:start w:val="1"/>
      <w:numFmt w:val="taiwaneseCountingThousand"/>
      <w:lvlText w:val="（%1）"/>
      <w:lvlJc w:val="left"/>
      <w:pPr>
        <w:tabs>
          <w:tab w:val="num" w:pos="780"/>
        </w:tabs>
        <w:ind w:left="780" w:hanging="780"/>
      </w:pPr>
      <w:rPr>
        <w:rFonts w:cs="Times New Roman" w:hint="eastAsia"/>
      </w:rPr>
    </w:lvl>
  </w:abstractNum>
  <w:abstractNum w:abstractNumId="19" w15:restartNumberingAfterBreak="0">
    <w:nsid w:val="7E166BE2"/>
    <w:multiLevelType w:val="multilevel"/>
    <w:tmpl w:val="878A2996"/>
    <w:lvl w:ilvl="0">
      <w:start w:val="1"/>
      <w:numFmt w:val="decimal"/>
      <w:lvlText w:val="(%1)"/>
      <w:lvlJc w:val="left"/>
      <w:pPr>
        <w:tabs>
          <w:tab w:val="num" w:pos="937"/>
        </w:tabs>
        <w:ind w:left="937" w:hanging="360"/>
      </w:pPr>
      <w:rPr>
        <w:rFonts w:cs="Times New Roman" w:hint="eastAsia"/>
      </w:rPr>
    </w:lvl>
    <w:lvl w:ilvl="1">
      <w:start w:val="1"/>
      <w:numFmt w:val="ideographTraditional"/>
      <w:lvlText w:val="%2、"/>
      <w:lvlJc w:val="left"/>
      <w:pPr>
        <w:tabs>
          <w:tab w:val="num" w:pos="1537"/>
        </w:tabs>
        <w:ind w:left="1537" w:hanging="480"/>
      </w:pPr>
      <w:rPr>
        <w:rFonts w:cs="Times New Roman"/>
      </w:rPr>
    </w:lvl>
    <w:lvl w:ilvl="2">
      <w:start w:val="1"/>
      <w:numFmt w:val="lowerRoman"/>
      <w:lvlText w:val="%3."/>
      <w:lvlJc w:val="right"/>
      <w:pPr>
        <w:tabs>
          <w:tab w:val="num" w:pos="2017"/>
        </w:tabs>
        <w:ind w:left="2017" w:hanging="480"/>
      </w:pPr>
      <w:rPr>
        <w:rFonts w:cs="Times New Roman"/>
      </w:rPr>
    </w:lvl>
    <w:lvl w:ilvl="3">
      <w:start w:val="1"/>
      <w:numFmt w:val="decimal"/>
      <w:lvlText w:val="%4."/>
      <w:lvlJc w:val="left"/>
      <w:pPr>
        <w:tabs>
          <w:tab w:val="num" w:pos="2497"/>
        </w:tabs>
        <w:ind w:left="2497" w:hanging="480"/>
      </w:pPr>
      <w:rPr>
        <w:rFonts w:cs="Times New Roman"/>
      </w:rPr>
    </w:lvl>
    <w:lvl w:ilvl="4">
      <w:start w:val="1"/>
      <w:numFmt w:val="ideographTraditional"/>
      <w:lvlText w:val="%5、"/>
      <w:lvlJc w:val="left"/>
      <w:pPr>
        <w:tabs>
          <w:tab w:val="num" w:pos="2977"/>
        </w:tabs>
        <w:ind w:left="2977" w:hanging="480"/>
      </w:pPr>
      <w:rPr>
        <w:rFonts w:cs="Times New Roman"/>
      </w:rPr>
    </w:lvl>
    <w:lvl w:ilvl="5">
      <w:start w:val="1"/>
      <w:numFmt w:val="lowerRoman"/>
      <w:lvlText w:val="%6."/>
      <w:lvlJc w:val="right"/>
      <w:pPr>
        <w:tabs>
          <w:tab w:val="num" w:pos="3457"/>
        </w:tabs>
        <w:ind w:left="3457" w:hanging="480"/>
      </w:pPr>
      <w:rPr>
        <w:rFonts w:cs="Times New Roman"/>
      </w:rPr>
    </w:lvl>
    <w:lvl w:ilvl="6">
      <w:start w:val="1"/>
      <w:numFmt w:val="decimal"/>
      <w:lvlText w:val="%7."/>
      <w:lvlJc w:val="left"/>
      <w:pPr>
        <w:tabs>
          <w:tab w:val="num" w:pos="3937"/>
        </w:tabs>
        <w:ind w:left="3937" w:hanging="480"/>
      </w:pPr>
      <w:rPr>
        <w:rFonts w:cs="Times New Roman"/>
      </w:rPr>
    </w:lvl>
    <w:lvl w:ilvl="7">
      <w:start w:val="1"/>
      <w:numFmt w:val="ideographTraditional"/>
      <w:lvlText w:val="%8、"/>
      <w:lvlJc w:val="left"/>
      <w:pPr>
        <w:tabs>
          <w:tab w:val="num" w:pos="4417"/>
        </w:tabs>
        <w:ind w:left="4417" w:hanging="480"/>
      </w:pPr>
      <w:rPr>
        <w:rFonts w:cs="Times New Roman"/>
      </w:rPr>
    </w:lvl>
    <w:lvl w:ilvl="8">
      <w:start w:val="1"/>
      <w:numFmt w:val="lowerRoman"/>
      <w:lvlText w:val="%9."/>
      <w:lvlJc w:val="right"/>
      <w:pPr>
        <w:tabs>
          <w:tab w:val="num" w:pos="4897"/>
        </w:tabs>
        <w:ind w:left="4897" w:hanging="480"/>
      </w:pPr>
      <w:rPr>
        <w:rFonts w:cs="Times New Roman"/>
      </w:rPr>
    </w:lvl>
  </w:abstractNum>
  <w:num w:numId="1" w16cid:durableId="1523323179">
    <w:abstractNumId w:val="8"/>
  </w:num>
  <w:num w:numId="2" w16cid:durableId="1449201050">
    <w:abstractNumId w:val="7"/>
  </w:num>
  <w:num w:numId="3" w16cid:durableId="208347645">
    <w:abstractNumId w:val="13"/>
  </w:num>
  <w:num w:numId="4" w16cid:durableId="209802461">
    <w:abstractNumId w:val="0"/>
  </w:num>
  <w:num w:numId="5" w16cid:durableId="1591350893">
    <w:abstractNumId w:val="11"/>
  </w:num>
  <w:num w:numId="6" w16cid:durableId="63066765">
    <w:abstractNumId w:val="2"/>
  </w:num>
  <w:num w:numId="7" w16cid:durableId="959992081">
    <w:abstractNumId w:val="4"/>
  </w:num>
  <w:num w:numId="8" w16cid:durableId="1154642517">
    <w:abstractNumId w:val="12"/>
  </w:num>
  <w:num w:numId="9" w16cid:durableId="2021077672">
    <w:abstractNumId w:val="16"/>
  </w:num>
  <w:num w:numId="10" w16cid:durableId="384792474">
    <w:abstractNumId w:val="5"/>
  </w:num>
  <w:num w:numId="11" w16cid:durableId="567425463">
    <w:abstractNumId w:val="17"/>
  </w:num>
  <w:num w:numId="12" w16cid:durableId="1531991681">
    <w:abstractNumId w:val="6"/>
  </w:num>
  <w:num w:numId="13" w16cid:durableId="1421877709">
    <w:abstractNumId w:val="1"/>
  </w:num>
  <w:num w:numId="14" w16cid:durableId="2089618171">
    <w:abstractNumId w:val="14"/>
  </w:num>
  <w:num w:numId="15" w16cid:durableId="2024432474">
    <w:abstractNumId w:val="15"/>
  </w:num>
  <w:num w:numId="16" w16cid:durableId="990906787">
    <w:abstractNumId w:val="19"/>
  </w:num>
  <w:num w:numId="17" w16cid:durableId="1963223195">
    <w:abstractNumId w:val="18"/>
  </w:num>
  <w:num w:numId="18" w16cid:durableId="1351878485">
    <w:abstractNumId w:val="9"/>
  </w:num>
  <w:num w:numId="19" w16cid:durableId="7486041">
    <w:abstractNumId w:val="3"/>
  </w:num>
  <w:num w:numId="20" w16cid:durableId="57003930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bordersDoNotSurroundHeader/>
  <w:bordersDoNotSurroundFooter/>
  <w:proofState w:spelling="clean" w:grammar="clean"/>
  <w:doNotTrackMoves/>
  <w:defaultTabStop w:val="480"/>
  <w:doNotHyphenateCaps/>
  <w:drawingGridHorizontalSpacing w:val="130"/>
  <w:displayHorizontalDrawingGridEvery w:val="0"/>
  <w:displayVerticalDrawingGridEvery w:val="2"/>
  <w:characterSpacingControl w:val="compressPunctuation"/>
  <w:noLineBreaksAfter w:lang="zh-TW" w:val="([{£¥‘“‵〈《「『【〔〝︵︷︹︻︽︿﹁﹃﹙﹛﹝（｛"/>
  <w:noLineBreaksBefore w:lang="zh-TW" w:val="!),.:;?]}¢·–—’”•‥…‧′╴、。〉》」』】〕〞︰︱︳︴︶︸︺︼︾﹀﹂﹄﹏﹐﹑﹒﹔﹕﹖﹗﹚﹜﹞！），．：；？｜｝､"/>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87601"/>
    <w:rsid w:val="000220A3"/>
    <w:rsid w:val="0003737B"/>
    <w:rsid w:val="0006487C"/>
    <w:rsid w:val="00081A5A"/>
    <w:rsid w:val="000852F4"/>
    <w:rsid w:val="000E2E57"/>
    <w:rsid w:val="001132A5"/>
    <w:rsid w:val="00115946"/>
    <w:rsid w:val="00155D75"/>
    <w:rsid w:val="001643B7"/>
    <w:rsid w:val="00164EC3"/>
    <w:rsid w:val="001812B0"/>
    <w:rsid w:val="001C0745"/>
    <w:rsid w:val="001E533B"/>
    <w:rsid w:val="00200AE8"/>
    <w:rsid w:val="00216524"/>
    <w:rsid w:val="00216A6E"/>
    <w:rsid w:val="002300E4"/>
    <w:rsid w:val="0025567C"/>
    <w:rsid w:val="0027008E"/>
    <w:rsid w:val="002B6B5B"/>
    <w:rsid w:val="002B7B8A"/>
    <w:rsid w:val="002D3036"/>
    <w:rsid w:val="0030391B"/>
    <w:rsid w:val="003042D6"/>
    <w:rsid w:val="0031289E"/>
    <w:rsid w:val="0032634F"/>
    <w:rsid w:val="00354E9A"/>
    <w:rsid w:val="00360CA1"/>
    <w:rsid w:val="003757E9"/>
    <w:rsid w:val="003948F0"/>
    <w:rsid w:val="003B3105"/>
    <w:rsid w:val="003B5A2D"/>
    <w:rsid w:val="003B7480"/>
    <w:rsid w:val="003B7771"/>
    <w:rsid w:val="003C4C66"/>
    <w:rsid w:val="003F2929"/>
    <w:rsid w:val="00402508"/>
    <w:rsid w:val="0043298E"/>
    <w:rsid w:val="004331D4"/>
    <w:rsid w:val="004542BC"/>
    <w:rsid w:val="00456B35"/>
    <w:rsid w:val="00460ACD"/>
    <w:rsid w:val="00463342"/>
    <w:rsid w:val="0048793B"/>
    <w:rsid w:val="004A1319"/>
    <w:rsid w:val="004A29F0"/>
    <w:rsid w:val="004B19C0"/>
    <w:rsid w:val="004C3BE1"/>
    <w:rsid w:val="004E3C0D"/>
    <w:rsid w:val="00531E93"/>
    <w:rsid w:val="005352D5"/>
    <w:rsid w:val="005404DE"/>
    <w:rsid w:val="005525B1"/>
    <w:rsid w:val="005716CE"/>
    <w:rsid w:val="0057303B"/>
    <w:rsid w:val="00587858"/>
    <w:rsid w:val="00590586"/>
    <w:rsid w:val="005A67E0"/>
    <w:rsid w:val="005D293B"/>
    <w:rsid w:val="005E48B0"/>
    <w:rsid w:val="005E77C1"/>
    <w:rsid w:val="0061624E"/>
    <w:rsid w:val="00622D10"/>
    <w:rsid w:val="00651DC4"/>
    <w:rsid w:val="00655F5F"/>
    <w:rsid w:val="00667311"/>
    <w:rsid w:val="006736A2"/>
    <w:rsid w:val="00677A71"/>
    <w:rsid w:val="006862FE"/>
    <w:rsid w:val="0068743F"/>
    <w:rsid w:val="006906B7"/>
    <w:rsid w:val="006C109E"/>
    <w:rsid w:val="006E7D9E"/>
    <w:rsid w:val="00731EBA"/>
    <w:rsid w:val="0073748C"/>
    <w:rsid w:val="007631C0"/>
    <w:rsid w:val="007772E0"/>
    <w:rsid w:val="00787829"/>
    <w:rsid w:val="00797F9C"/>
    <w:rsid w:val="007A7FE5"/>
    <w:rsid w:val="007C280B"/>
    <w:rsid w:val="007C39F2"/>
    <w:rsid w:val="007D05DD"/>
    <w:rsid w:val="00820A8B"/>
    <w:rsid w:val="00894FE6"/>
    <w:rsid w:val="008F01FF"/>
    <w:rsid w:val="008F7C66"/>
    <w:rsid w:val="009017D2"/>
    <w:rsid w:val="00910034"/>
    <w:rsid w:val="009149AD"/>
    <w:rsid w:val="009210DF"/>
    <w:rsid w:val="00927933"/>
    <w:rsid w:val="00955B62"/>
    <w:rsid w:val="00970E02"/>
    <w:rsid w:val="00973423"/>
    <w:rsid w:val="00977DDF"/>
    <w:rsid w:val="009805CF"/>
    <w:rsid w:val="009C3809"/>
    <w:rsid w:val="009C653F"/>
    <w:rsid w:val="009F093C"/>
    <w:rsid w:val="00A10FAE"/>
    <w:rsid w:val="00A24FFC"/>
    <w:rsid w:val="00A327CE"/>
    <w:rsid w:val="00A505EE"/>
    <w:rsid w:val="00A5751A"/>
    <w:rsid w:val="00A669C2"/>
    <w:rsid w:val="00A7490F"/>
    <w:rsid w:val="00A943E4"/>
    <w:rsid w:val="00AD1920"/>
    <w:rsid w:val="00AD7183"/>
    <w:rsid w:val="00B24B03"/>
    <w:rsid w:val="00B80849"/>
    <w:rsid w:val="00B85495"/>
    <w:rsid w:val="00BA3B85"/>
    <w:rsid w:val="00BD0555"/>
    <w:rsid w:val="00BD0E46"/>
    <w:rsid w:val="00BE1F83"/>
    <w:rsid w:val="00BF247F"/>
    <w:rsid w:val="00C26683"/>
    <w:rsid w:val="00C34F36"/>
    <w:rsid w:val="00C43033"/>
    <w:rsid w:val="00C6790C"/>
    <w:rsid w:val="00C85E8F"/>
    <w:rsid w:val="00C904D3"/>
    <w:rsid w:val="00CA515A"/>
    <w:rsid w:val="00CC593E"/>
    <w:rsid w:val="00CD0699"/>
    <w:rsid w:val="00CE4D28"/>
    <w:rsid w:val="00CE53D7"/>
    <w:rsid w:val="00CE74B4"/>
    <w:rsid w:val="00D03B05"/>
    <w:rsid w:val="00D10A56"/>
    <w:rsid w:val="00D25C08"/>
    <w:rsid w:val="00D348F3"/>
    <w:rsid w:val="00D459D9"/>
    <w:rsid w:val="00D73498"/>
    <w:rsid w:val="00DB54C8"/>
    <w:rsid w:val="00DB54EE"/>
    <w:rsid w:val="00DC16C9"/>
    <w:rsid w:val="00E055DE"/>
    <w:rsid w:val="00E17EAE"/>
    <w:rsid w:val="00E35783"/>
    <w:rsid w:val="00E520A8"/>
    <w:rsid w:val="00E6151B"/>
    <w:rsid w:val="00E8068F"/>
    <w:rsid w:val="00E87601"/>
    <w:rsid w:val="00EA2E15"/>
    <w:rsid w:val="00EB3A71"/>
    <w:rsid w:val="00EB3CD7"/>
    <w:rsid w:val="00EF791F"/>
    <w:rsid w:val="00F02C37"/>
    <w:rsid w:val="00F2266B"/>
    <w:rsid w:val="00F237EE"/>
    <w:rsid w:val="00F247E4"/>
    <w:rsid w:val="00F35FDD"/>
    <w:rsid w:val="00F6439B"/>
    <w:rsid w:val="00F86396"/>
    <w:rsid w:val="00FA5967"/>
    <w:rsid w:val="00FA7BF5"/>
    <w:rsid w:val="00FB3CAF"/>
    <w:rsid w:val="00FD5445"/>
    <w:rsid w:val="00FE0FC0"/>
    <w:rsid w:val="00FE37B4"/>
    <w:rsid w:val="00FE6622"/>
    <w:rsid w:val="00FF65E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0E67795"/>
  <w15:chartTrackingRefBased/>
  <w15:docId w15:val="{69DD0655-20AA-4718-9CC8-9D7D56B458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lsdException w:name="footnote text" w:semiHidden="1" w:unhideWhenUsed="1"/>
    <w:lsdException w:name="annotation text" w:semiHidden="1" w:unhideWhenUsed="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lsdException w:name="Body Text 3" w:semiHidden="1" w:unhideWhenUsed="1"/>
    <w:lsdException w:name="Body Text Indent 2" w:semiHidden="1"/>
    <w:lsdException w:name="Body Text Indent 3" w:semiHidden="1"/>
    <w:lsdException w:name="Block Text" w:semiHidden="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napToGrid w:val="0"/>
      <w:spacing w:line="360" w:lineRule="atLeast"/>
      <w:jc w:val="both"/>
    </w:pPr>
    <w:rPr>
      <w:rFonts w:ascii="標楷體" w:eastAsia="標楷體" w:hAnsi="Times New Roman" w:cs="標楷體"/>
      <w:spacing w:val="10"/>
      <w:kern w:val="2"/>
      <w:sz w:val="24"/>
      <w:szCs w:val="24"/>
    </w:rPr>
  </w:style>
  <w:style w:type="paragraph" w:styleId="1">
    <w:name w:val="heading 1"/>
    <w:basedOn w:val="a"/>
    <w:next w:val="a"/>
    <w:link w:val="10"/>
    <w:uiPriority w:val="99"/>
    <w:qFormat/>
    <w:pPr>
      <w:spacing w:after="120"/>
      <w:jc w:val="center"/>
      <w:outlineLvl w:val="0"/>
    </w:pPr>
    <w:rPr>
      <w:rFonts w:hAnsi="Arial"/>
      <w:b/>
      <w:bCs/>
      <w:kern w:val="52"/>
      <w:sz w:val="36"/>
      <w:szCs w:val="36"/>
    </w:rPr>
  </w:style>
  <w:style w:type="paragraph" w:styleId="2">
    <w:name w:val="heading 2"/>
    <w:basedOn w:val="a"/>
    <w:next w:val="a"/>
    <w:link w:val="20"/>
    <w:uiPriority w:val="99"/>
    <w:qFormat/>
    <w:pPr>
      <w:keepNext/>
      <w:spacing w:line="720" w:lineRule="auto"/>
      <w:outlineLvl w:val="1"/>
    </w:pPr>
    <w:rPr>
      <w:rFonts w:ascii="Arial" w:hAnsi="Arial" w:cs="Arial"/>
      <w:b/>
      <w:bCs/>
      <w:sz w:val="48"/>
      <w:szCs w:val="48"/>
    </w:rPr>
  </w:style>
  <w:style w:type="paragraph" w:styleId="3">
    <w:name w:val="heading 3"/>
    <w:basedOn w:val="a"/>
    <w:next w:val="a"/>
    <w:link w:val="30"/>
    <w:uiPriority w:val="99"/>
    <w:qFormat/>
    <w:pPr>
      <w:keepNext/>
      <w:spacing w:line="720" w:lineRule="auto"/>
      <w:outlineLvl w:val="2"/>
    </w:pPr>
    <w:rPr>
      <w:rFonts w:ascii="Arial" w:hAnsi="Arial" w:cs="Arial"/>
      <w:b/>
      <w:bCs/>
      <w:sz w:val="36"/>
      <w:szCs w:val="36"/>
    </w:rPr>
  </w:style>
  <w:style w:type="paragraph" w:styleId="4">
    <w:name w:val="heading 4"/>
    <w:basedOn w:val="a"/>
    <w:next w:val="a0"/>
    <w:link w:val="40"/>
    <w:uiPriority w:val="99"/>
    <w:qFormat/>
    <w:pPr>
      <w:keepNext/>
      <w:adjustRightInd w:val="0"/>
      <w:snapToGrid/>
      <w:spacing w:line="720" w:lineRule="atLeast"/>
      <w:jc w:val="left"/>
      <w:textAlignment w:val="baseline"/>
      <w:outlineLvl w:val="3"/>
    </w:pPr>
    <w:rPr>
      <w:rFonts w:ascii="Arial" w:eastAsia="新細明體" w:hAnsi="Arial" w:cs="Arial"/>
      <w:spacing w:val="0"/>
      <w:kern w:val="0"/>
      <w:sz w:val="36"/>
      <w:szCs w:val="36"/>
    </w:rPr>
  </w:style>
  <w:style w:type="paragraph" w:styleId="5">
    <w:name w:val="heading 5"/>
    <w:basedOn w:val="a"/>
    <w:next w:val="a0"/>
    <w:link w:val="50"/>
    <w:uiPriority w:val="99"/>
    <w:qFormat/>
    <w:pPr>
      <w:keepNext/>
      <w:adjustRightInd w:val="0"/>
      <w:snapToGrid/>
      <w:spacing w:line="720" w:lineRule="atLeast"/>
      <w:jc w:val="left"/>
      <w:textAlignment w:val="baseline"/>
      <w:outlineLvl w:val="4"/>
    </w:pPr>
    <w:rPr>
      <w:rFonts w:ascii="Arial" w:eastAsia="新細明體" w:hAnsi="Arial" w:cs="Arial"/>
      <w:b/>
      <w:bCs/>
      <w:spacing w:val="0"/>
      <w:kern w:val="0"/>
      <w:sz w:val="36"/>
      <w:szCs w:val="36"/>
    </w:rPr>
  </w:style>
  <w:style w:type="paragraph" w:styleId="6">
    <w:name w:val="heading 6"/>
    <w:basedOn w:val="a"/>
    <w:next w:val="a0"/>
    <w:link w:val="60"/>
    <w:uiPriority w:val="99"/>
    <w:qFormat/>
    <w:pPr>
      <w:keepNext/>
      <w:adjustRightInd w:val="0"/>
      <w:snapToGrid/>
      <w:spacing w:line="720" w:lineRule="atLeast"/>
      <w:jc w:val="left"/>
      <w:textAlignment w:val="baseline"/>
      <w:outlineLvl w:val="5"/>
    </w:pPr>
    <w:rPr>
      <w:rFonts w:ascii="Arial" w:eastAsia="新細明體" w:hAnsi="Arial" w:cs="Arial"/>
      <w:spacing w:val="0"/>
      <w:kern w:val="0"/>
      <w:sz w:val="36"/>
      <w:szCs w:val="36"/>
    </w:rPr>
  </w:style>
  <w:style w:type="paragraph" w:styleId="7">
    <w:name w:val="heading 7"/>
    <w:basedOn w:val="a"/>
    <w:next w:val="a0"/>
    <w:link w:val="70"/>
    <w:uiPriority w:val="99"/>
    <w:qFormat/>
    <w:pPr>
      <w:keepNext/>
      <w:adjustRightInd w:val="0"/>
      <w:snapToGrid/>
      <w:spacing w:line="720" w:lineRule="atLeast"/>
      <w:jc w:val="left"/>
      <w:textAlignment w:val="baseline"/>
      <w:outlineLvl w:val="6"/>
    </w:pPr>
    <w:rPr>
      <w:rFonts w:ascii="Arial" w:eastAsia="新細明體" w:hAnsi="Arial" w:cs="Arial"/>
      <w:b/>
      <w:bCs/>
      <w:spacing w:val="0"/>
      <w:kern w:val="0"/>
      <w:sz w:val="36"/>
      <w:szCs w:val="36"/>
    </w:rPr>
  </w:style>
  <w:style w:type="paragraph" w:styleId="8">
    <w:name w:val="heading 8"/>
    <w:basedOn w:val="a"/>
    <w:next w:val="a0"/>
    <w:link w:val="80"/>
    <w:uiPriority w:val="99"/>
    <w:qFormat/>
    <w:pPr>
      <w:keepNext/>
      <w:adjustRightInd w:val="0"/>
      <w:snapToGrid/>
      <w:spacing w:line="720" w:lineRule="atLeast"/>
      <w:jc w:val="left"/>
      <w:textAlignment w:val="baseline"/>
      <w:outlineLvl w:val="7"/>
    </w:pPr>
    <w:rPr>
      <w:rFonts w:ascii="Arial" w:eastAsia="新細明體" w:hAnsi="Arial" w:cs="Arial"/>
      <w:spacing w:val="0"/>
      <w:kern w:val="0"/>
      <w:sz w:val="36"/>
      <w:szCs w:val="36"/>
    </w:rPr>
  </w:style>
  <w:style w:type="paragraph" w:styleId="9">
    <w:name w:val="heading 9"/>
    <w:basedOn w:val="a"/>
    <w:next w:val="a0"/>
    <w:link w:val="90"/>
    <w:uiPriority w:val="99"/>
    <w:qFormat/>
    <w:pPr>
      <w:keepNext/>
      <w:adjustRightInd w:val="0"/>
      <w:snapToGrid/>
      <w:spacing w:line="720" w:lineRule="atLeast"/>
      <w:jc w:val="left"/>
      <w:textAlignment w:val="baseline"/>
      <w:outlineLvl w:val="8"/>
    </w:pPr>
    <w:rPr>
      <w:rFonts w:ascii="Arial" w:eastAsia="新細明體" w:hAnsi="Arial" w:cs="Arial"/>
      <w:spacing w:val="0"/>
      <w:kern w:val="0"/>
      <w:sz w:val="36"/>
      <w:szCs w:val="3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標題 1 字元"/>
    <w:link w:val="1"/>
    <w:uiPriority w:val="9"/>
    <w:locked/>
    <w:rPr>
      <w:rFonts w:ascii="Cambria" w:eastAsia="新細明體" w:hAnsi="Cambria" w:cs="Times New Roman"/>
      <w:b/>
      <w:bCs/>
      <w:spacing w:val="10"/>
      <w:kern w:val="52"/>
      <w:sz w:val="52"/>
      <w:szCs w:val="52"/>
    </w:rPr>
  </w:style>
  <w:style w:type="character" w:customStyle="1" w:styleId="20">
    <w:name w:val="標題 2 字元"/>
    <w:link w:val="2"/>
    <w:uiPriority w:val="9"/>
    <w:semiHidden/>
    <w:locked/>
    <w:rPr>
      <w:rFonts w:ascii="Cambria" w:eastAsia="新細明體" w:hAnsi="Cambria" w:cs="Times New Roman"/>
      <w:b/>
      <w:bCs/>
      <w:spacing w:val="10"/>
      <w:sz w:val="48"/>
      <w:szCs w:val="48"/>
    </w:rPr>
  </w:style>
  <w:style w:type="character" w:customStyle="1" w:styleId="30">
    <w:name w:val="標題 3 字元"/>
    <w:link w:val="3"/>
    <w:uiPriority w:val="9"/>
    <w:semiHidden/>
    <w:locked/>
    <w:rPr>
      <w:rFonts w:ascii="Cambria" w:eastAsia="新細明體" w:hAnsi="Cambria" w:cs="Times New Roman"/>
      <w:b/>
      <w:bCs/>
      <w:spacing w:val="10"/>
      <w:sz w:val="36"/>
      <w:szCs w:val="36"/>
    </w:rPr>
  </w:style>
  <w:style w:type="character" w:customStyle="1" w:styleId="40">
    <w:name w:val="標題 4 字元"/>
    <w:link w:val="4"/>
    <w:uiPriority w:val="9"/>
    <w:semiHidden/>
    <w:locked/>
    <w:rPr>
      <w:rFonts w:ascii="Cambria" w:eastAsia="新細明體" w:hAnsi="Cambria" w:cs="Times New Roman"/>
      <w:spacing w:val="10"/>
      <w:sz w:val="36"/>
      <w:szCs w:val="36"/>
    </w:rPr>
  </w:style>
  <w:style w:type="character" w:customStyle="1" w:styleId="50">
    <w:name w:val="標題 5 字元"/>
    <w:link w:val="5"/>
    <w:uiPriority w:val="9"/>
    <w:semiHidden/>
    <w:locked/>
    <w:rPr>
      <w:rFonts w:ascii="Cambria" w:eastAsia="新細明體" w:hAnsi="Cambria" w:cs="Times New Roman"/>
      <w:b/>
      <w:bCs/>
      <w:spacing w:val="10"/>
      <w:sz w:val="36"/>
      <w:szCs w:val="36"/>
    </w:rPr>
  </w:style>
  <w:style w:type="character" w:customStyle="1" w:styleId="60">
    <w:name w:val="標題 6 字元"/>
    <w:link w:val="6"/>
    <w:uiPriority w:val="9"/>
    <w:semiHidden/>
    <w:locked/>
    <w:rPr>
      <w:rFonts w:ascii="Cambria" w:eastAsia="新細明體" w:hAnsi="Cambria" w:cs="Times New Roman"/>
      <w:spacing w:val="10"/>
      <w:sz w:val="36"/>
      <w:szCs w:val="36"/>
    </w:rPr>
  </w:style>
  <w:style w:type="character" w:customStyle="1" w:styleId="70">
    <w:name w:val="標題 7 字元"/>
    <w:link w:val="7"/>
    <w:uiPriority w:val="9"/>
    <w:semiHidden/>
    <w:locked/>
    <w:rPr>
      <w:rFonts w:ascii="Cambria" w:eastAsia="新細明體" w:hAnsi="Cambria" w:cs="Times New Roman"/>
      <w:b/>
      <w:bCs/>
      <w:spacing w:val="10"/>
      <w:sz w:val="36"/>
      <w:szCs w:val="36"/>
    </w:rPr>
  </w:style>
  <w:style w:type="character" w:customStyle="1" w:styleId="80">
    <w:name w:val="標題 8 字元"/>
    <w:link w:val="8"/>
    <w:uiPriority w:val="9"/>
    <w:semiHidden/>
    <w:locked/>
    <w:rPr>
      <w:rFonts w:ascii="Cambria" w:eastAsia="新細明體" w:hAnsi="Cambria" w:cs="Times New Roman"/>
      <w:spacing w:val="10"/>
      <w:sz w:val="36"/>
      <w:szCs w:val="36"/>
    </w:rPr>
  </w:style>
  <w:style w:type="character" w:customStyle="1" w:styleId="90">
    <w:name w:val="標題 9 字元"/>
    <w:link w:val="9"/>
    <w:uiPriority w:val="9"/>
    <w:semiHidden/>
    <w:locked/>
    <w:rPr>
      <w:rFonts w:ascii="Cambria" w:eastAsia="新細明體" w:hAnsi="Cambria" w:cs="Times New Roman"/>
      <w:spacing w:val="10"/>
      <w:sz w:val="36"/>
      <w:szCs w:val="36"/>
    </w:rPr>
  </w:style>
  <w:style w:type="paragraph" w:styleId="a0">
    <w:name w:val="Normal Indent"/>
    <w:basedOn w:val="a"/>
    <w:uiPriority w:val="99"/>
    <w:pPr>
      <w:ind w:left="480"/>
    </w:pPr>
  </w:style>
  <w:style w:type="paragraph" w:styleId="a4">
    <w:name w:val="Block Text"/>
    <w:basedOn w:val="a"/>
    <w:uiPriority w:val="99"/>
    <w:pPr>
      <w:ind w:left="758" w:right="28" w:hanging="730"/>
    </w:pPr>
    <w:rPr>
      <w:rFonts w:ascii="新細明體" w:eastAsia="新細明體" w:cs="新細明體"/>
      <w:spacing w:val="24"/>
    </w:rPr>
  </w:style>
  <w:style w:type="paragraph" w:styleId="21">
    <w:name w:val="Body Text 2"/>
    <w:basedOn w:val="a"/>
    <w:link w:val="22"/>
    <w:uiPriority w:val="99"/>
    <w:pPr>
      <w:spacing w:line="360" w:lineRule="exact"/>
    </w:pPr>
    <w:rPr>
      <w:rFonts w:ascii="新細明體" w:eastAsia="新細明體" w:cs="新細明體"/>
      <w:color w:val="0000FF"/>
      <w:u w:val="single"/>
    </w:rPr>
  </w:style>
  <w:style w:type="character" w:customStyle="1" w:styleId="22">
    <w:name w:val="本文 2 字元"/>
    <w:link w:val="21"/>
    <w:uiPriority w:val="99"/>
    <w:semiHidden/>
    <w:locked/>
    <w:rPr>
      <w:rFonts w:ascii="標楷體" w:eastAsia="標楷體" w:hAnsi="Times New Roman" w:cs="標楷體"/>
      <w:spacing w:val="10"/>
      <w:sz w:val="24"/>
      <w:szCs w:val="24"/>
    </w:rPr>
  </w:style>
  <w:style w:type="paragraph" w:styleId="a5">
    <w:name w:val="Body Text"/>
    <w:basedOn w:val="a"/>
    <w:link w:val="a6"/>
    <w:uiPriority w:val="99"/>
    <w:pPr>
      <w:ind w:right="28"/>
    </w:pPr>
    <w:rPr>
      <w:rFonts w:ascii="新細明體" w:eastAsia="新細明體" w:cs="新細明體"/>
    </w:rPr>
  </w:style>
  <w:style w:type="character" w:customStyle="1" w:styleId="a6">
    <w:name w:val="本文 字元"/>
    <w:link w:val="a5"/>
    <w:uiPriority w:val="99"/>
    <w:semiHidden/>
    <w:locked/>
    <w:rPr>
      <w:rFonts w:ascii="標楷體" w:eastAsia="標楷體" w:hAnsi="Times New Roman" w:cs="標楷體"/>
      <w:spacing w:val="10"/>
      <w:sz w:val="24"/>
      <w:szCs w:val="24"/>
    </w:rPr>
  </w:style>
  <w:style w:type="paragraph" w:styleId="HTML">
    <w:name w:val="HTML Preformatted"/>
    <w:basedOn w:val="a"/>
    <w:link w:val="HTML0"/>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line="240" w:lineRule="auto"/>
      <w:jc w:val="left"/>
    </w:pPr>
    <w:rPr>
      <w:rFonts w:ascii="細明體" w:eastAsia="細明體" w:hAnsi="Courier New" w:cs="細明體"/>
      <w:color w:val="008000"/>
      <w:spacing w:val="0"/>
      <w:kern w:val="0"/>
      <w:sz w:val="20"/>
      <w:szCs w:val="20"/>
    </w:rPr>
  </w:style>
  <w:style w:type="character" w:customStyle="1" w:styleId="HTML0">
    <w:name w:val="HTML 預設格式 字元"/>
    <w:link w:val="HTML"/>
    <w:uiPriority w:val="99"/>
    <w:semiHidden/>
    <w:locked/>
    <w:rPr>
      <w:rFonts w:ascii="Courier New" w:eastAsia="標楷體" w:hAnsi="Courier New" w:cs="Courier New"/>
      <w:spacing w:val="10"/>
      <w:sz w:val="20"/>
      <w:szCs w:val="20"/>
    </w:rPr>
  </w:style>
  <w:style w:type="paragraph" w:styleId="a7">
    <w:name w:val="footer"/>
    <w:basedOn w:val="a"/>
    <w:link w:val="a8"/>
    <w:uiPriority w:val="99"/>
    <w:pPr>
      <w:tabs>
        <w:tab w:val="center" w:pos="4153"/>
        <w:tab w:val="right" w:pos="8306"/>
      </w:tabs>
    </w:pPr>
    <w:rPr>
      <w:sz w:val="20"/>
      <w:szCs w:val="20"/>
    </w:rPr>
  </w:style>
  <w:style w:type="character" w:customStyle="1" w:styleId="a8">
    <w:name w:val="頁尾 字元"/>
    <w:link w:val="a7"/>
    <w:uiPriority w:val="99"/>
    <w:semiHidden/>
    <w:locked/>
    <w:rPr>
      <w:rFonts w:ascii="標楷體" w:eastAsia="標楷體" w:hAnsi="Times New Roman" w:cs="標楷體"/>
      <w:spacing w:val="10"/>
      <w:sz w:val="20"/>
      <w:szCs w:val="20"/>
    </w:rPr>
  </w:style>
  <w:style w:type="character" w:styleId="a9">
    <w:name w:val="page number"/>
    <w:uiPriority w:val="99"/>
    <w:rPr>
      <w:rFonts w:cs="Times New Roman"/>
    </w:rPr>
  </w:style>
  <w:style w:type="paragraph" w:styleId="23">
    <w:name w:val="Body Text Indent 2"/>
    <w:basedOn w:val="a"/>
    <w:link w:val="24"/>
    <w:uiPriority w:val="99"/>
    <w:pPr>
      <w:spacing w:before="240" w:line="288" w:lineRule="auto"/>
      <w:ind w:left="1118" w:hanging="402"/>
    </w:pPr>
    <w:rPr>
      <w:rFonts w:hAnsi="標楷體"/>
      <w:spacing w:val="0"/>
    </w:rPr>
  </w:style>
  <w:style w:type="character" w:customStyle="1" w:styleId="24">
    <w:name w:val="本文縮排 2 字元"/>
    <w:link w:val="23"/>
    <w:uiPriority w:val="99"/>
    <w:semiHidden/>
    <w:locked/>
    <w:rPr>
      <w:rFonts w:ascii="標楷體" w:eastAsia="標楷體" w:hAnsi="Times New Roman" w:cs="標楷體"/>
      <w:spacing w:val="10"/>
      <w:sz w:val="24"/>
      <w:szCs w:val="24"/>
    </w:rPr>
  </w:style>
  <w:style w:type="paragraph" w:styleId="31">
    <w:name w:val="Body Text Indent 3"/>
    <w:basedOn w:val="a"/>
    <w:link w:val="32"/>
    <w:uiPriority w:val="99"/>
    <w:pPr>
      <w:spacing w:line="360" w:lineRule="exact"/>
      <w:ind w:left="862" w:hanging="862"/>
    </w:pPr>
    <w:rPr>
      <w:rFonts w:ascii="新細明體" w:eastAsia="新細明體" w:cs="新細明體"/>
      <w:u w:val="single"/>
    </w:rPr>
  </w:style>
  <w:style w:type="character" w:customStyle="1" w:styleId="32">
    <w:name w:val="本文縮排 3 字元"/>
    <w:link w:val="31"/>
    <w:uiPriority w:val="99"/>
    <w:semiHidden/>
    <w:locked/>
    <w:rPr>
      <w:rFonts w:ascii="標楷體" w:eastAsia="標楷體" w:hAnsi="Times New Roman" w:cs="標楷體"/>
      <w:spacing w:val="10"/>
      <w:sz w:val="16"/>
      <w:szCs w:val="16"/>
    </w:rPr>
  </w:style>
  <w:style w:type="paragraph" w:styleId="aa">
    <w:name w:val="header"/>
    <w:basedOn w:val="a"/>
    <w:link w:val="ab"/>
    <w:uiPriority w:val="99"/>
    <w:pPr>
      <w:tabs>
        <w:tab w:val="center" w:pos="4153"/>
        <w:tab w:val="right" w:pos="8306"/>
      </w:tabs>
    </w:pPr>
    <w:rPr>
      <w:sz w:val="20"/>
      <w:szCs w:val="20"/>
    </w:rPr>
  </w:style>
  <w:style w:type="character" w:customStyle="1" w:styleId="ab">
    <w:name w:val="頁首 字元"/>
    <w:link w:val="aa"/>
    <w:uiPriority w:val="99"/>
    <w:semiHidden/>
    <w:locked/>
    <w:rPr>
      <w:rFonts w:ascii="標楷體" w:eastAsia="標楷體" w:hAnsi="Times New Roman" w:cs="標楷體"/>
      <w:spacing w:val="10"/>
      <w:sz w:val="20"/>
      <w:szCs w:val="20"/>
    </w:rPr>
  </w:style>
  <w:style w:type="table" w:styleId="ac">
    <w:name w:val="Table Grid"/>
    <w:basedOn w:val="a2"/>
    <w:uiPriority w:val="59"/>
    <w:rsid w:val="00A24F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webSettings" Target="webSettings.xml" Id="rId5" /><Relationship Type="http://schemas.openxmlformats.org/officeDocument/2006/relationships/settings" Target="settings.xml" Id="rId4" /><Relationship Type="http://schemas.openxmlformats.org/officeDocument/2006/relationships/theme" Target="theme/theme1.xml" Id="rId9" /><Relationship Type="http://schemas.openxmlformats.org/officeDocument/2006/relationships/aFChunk" Target="/word/afchunk2.docx" Id="altChunkId_0" /></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20EADB-4AC3-491B-98F7-B418BE3AA7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Pages>
  <Words>14</Words>
  <Characters>86</Characters>
  <Application>Microsoft Office Word</Application>
  <DocSecurity>0</DocSecurity>
  <Lines>1</Lines>
  <Paragraphs>1</Paragraphs>
  <ScaleCrop>false</ScaleCrop>
  <Company>Hewlett-Packard Company</Company>
  <LinksUpToDate>false</LinksUpToDate>
  <CharactersWithSpaces>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證券商內部控制制度標準規範─內部控制制度修訂對照表（97年度）</dc:title>
  <dc:subject/>
  <dc:creator>0753</dc:creator>
  <cp:keywords/>
  <cp:lastModifiedBy>Lawrence, Cheng 程昱偉</cp:lastModifiedBy>
  <cp:revision>13</cp:revision>
  <cp:lastPrinted>2004-03-09T19:20:00Z</cp:lastPrinted>
  <dcterms:created xsi:type="dcterms:W3CDTF">2025-04-18T10:47:00Z</dcterms:created>
  <dcterms:modified xsi:type="dcterms:W3CDTF">2025-09-09T08:25:00Z</dcterms:modified>
</cp:coreProperties>
</file>